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50"/>
        </w:tabs>
        <w:spacing w:line="554" w:lineRule="exact"/>
        <w:rPr>
          <w:rFonts w:ascii="Times New Roman" w:eastAsiaTheme="minorEastAsia"/>
          <w:w w:val="99"/>
          <w:sz w:val="44"/>
          <w:u w:val="thick"/>
          <w:lang w:eastAsia="zh-CN"/>
        </w:rPr>
      </w:pPr>
    </w:p>
    <w:p>
      <w:pPr>
        <w:tabs>
          <w:tab w:val="left" w:pos="6850"/>
        </w:tabs>
        <w:spacing w:line="554" w:lineRule="exact"/>
        <w:rPr>
          <w:rFonts w:ascii="Times New Roman" w:eastAsiaTheme="minorEastAsia"/>
          <w:w w:val="99"/>
          <w:sz w:val="44"/>
          <w:u w:val="thick"/>
          <w:lang w:eastAsia="zh-CN"/>
        </w:rPr>
      </w:pPr>
    </w:p>
    <w:p>
      <w:pPr>
        <w:tabs>
          <w:tab w:val="left" w:pos="6850"/>
        </w:tabs>
        <w:spacing w:line="554" w:lineRule="exact"/>
        <w:rPr>
          <w:rFonts w:ascii="Times New Roman" w:eastAsiaTheme="minorEastAsia"/>
          <w:w w:val="99"/>
          <w:sz w:val="44"/>
          <w:u w:val="thick"/>
          <w:lang w:eastAsia="zh-CN"/>
        </w:rPr>
      </w:pPr>
    </w:p>
    <w:p>
      <w:pPr>
        <w:tabs>
          <w:tab w:val="left" w:pos="6850"/>
        </w:tabs>
        <w:spacing w:line="554" w:lineRule="exact"/>
        <w:jc w:val="center"/>
        <w:rPr>
          <w:rFonts w:ascii="黑体" w:hAnsi="黑体" w:eastAsia="黑体"/>
          <w:b/>
          <w:sz w:val="52"/>
          <w:szCs w:val="52"/>
          <w:lang w:eastAsia="zh-CN"/>
        </w:rPr>
      </w:pPr>
      <w:r>
        <w:rPr>
          <w:rFonts w:hint="eastAsia" w:ascii="黑体" w:hAnsi="黑体" w:eastAsia="黑体"/>
          <w:b/>
          <w:w w:val="95"/>
          <w:sz w:val="52"/>
          <w:szCs w:val="52"/>
          <w:u w:val="single"/>
          <w:lang w:eastAsia="zh-CN"/>
        </w:rPr>
        <w:t>企业年金受托人</w:t>
      </w:r>
      <w:r>
        <w:rPr>
          <w:rFonts w:ascii="黑体" w:hAnsi="黑体" w:eastAsia="黑体"/>
          <w:b/>
          <w:w w:val="95"/>
          <w:sz w:val="52"/>
          <w:szCs w:val="52"/>
          <w:lang w:eastAsia="zh-CN"/>
        </w:rPr>
        <w:t>项目</w:t>
      </w: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jc w:val="center"/>
        <w:rPr>
          <w:rFonts w:asciiTheme="majorEastAsia" w:hAnsiTheme="majorEastAsia" w:eastAsiaTheme="majorEastAsia"/>
          <w:b/>
          <w:sz w:val="52"/>
          <w:lang w:eastAsia="zh-CN"/>
        </w:rPr>
      </w:pPr>
      <w:r>
        <w:rPr>
          <w:rFonts w:hint="eastAsia" w:asciiTheme="majorEastAsia" w:hAnsiTheme="majorEastAsia" w:eastAsiaTheme="majorEastAsia"/>
          <w:b/>
          <w:sz w:val="52"/>
          <w:lang w:eastAsia="zh-CN"/>
        </w:rPr>
        <w:t>比 选 文 件</w:t>
      </w: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850"/>
        </w:tabs>
        <w:spacing w:line="554" w:lineRule="exact"/>
        <w:rPr>
          <w:rFonts w:ascii="方正小标宋简体" w:eastAsia="方正小标宋简体"/>
          <w:sz w:val="52"/>
          <w:lang w:eastAsia="zh-CN"/>
        </w:rPr>
      </w:pPr>
    </w:p>
    <w:p>
      <w:pPr>
        <w:tabs>
          <w:tab w:val="left" w:pos="6243"/>
        </w:tabs>
        <w:spacing w:before="100" w:beforeAutospacing="1"/>
        <w:ind w:left="283"/>
        <w:jc w:val="center"/>
        <w:rPr>
          <w:rFonts w:ascii="Times New Roman" w:eastAsiaTheme="minorEastAsia"/>
          <w:sz w:val="36"/>
          <w:szCs w:val="36"/>
          <w:u w:val="thick"/>
          <w:lang w:eastAsia="zh-CN"/>
        </w:rPr>
      </w:pPr>
      <w:r>
        <w:rPr>
          <w:rFonts w:hint="eastAsia"/>
          <w:w w:val="95"/>
          <w:sz w:val="36"/>
          <w:szCs w:val="36"/>
          <w:lang w:eastAsia="zh-CN"/>
        </w:rPr>
        <w:t>比选</w:t>
      </w:r>
      <w:r>
        <w:rPr>
          <w:w w:val="95"/>
          <w:sz w:val="36"/>
          <w:szCs w:val="36"/>
          <w:lang w:eastAsia="zh-CN"/>
        </w:rPr>
        <w:t>人：</w:t>
      </w:r>
      <w:r>
        <w:rPr>
          <w:rFonts w:hint="eastAsia"/>
          <w:w w:val="95"/>
          <w:sz w:val="36"/>
          <w:szCs w:val="36"/>
          <w:u w:val="single"/>
          <w:lang w:eastAsia="zh-CN"/>
        </w:rPr>
        <w:t>四川能投建工集团有限公司</w:t>
      </w:r>
    </w:p>
    <w:p>
      <w:pPr>
        <w:tabs>
          <w:tab w:val="left" w:pos="6850"/>
        </w:tabs>
        <w:spacing w:line="554" w:lineRule="exact"/>
        <w:rPr>
          <w:rFonts w:ascii="Times New Roman" w:eastAsiaTheme="minorEastAsia"/>
          <w:sz w:val="36"/>
          <w:szCs w:val="36"/>
          <w:lang w:eastAsia="zh-CN"/>
        </w:rPr>
      </w:pPr>
    </w:p>
    <w:p>
      <w:pPr>
        <w:tabs>
          <w:tab w:val="left" w:pos="3663"/>
          <w:tab w:val="left" w:pos="5201"/>
          <w:tab w:val="left" w:pos="6742"/>
        </w:tabs>
        <w:spacing w:line="553" w:lineRule="exact"/>
        <w:ind w:left="2438" w:firstLine="1080" w:firstLineChars="300"/>
        <w:rPr>
          <w:sz w:val="36"/>
          <w:szCs w:val="36"/>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sz w:val="36"/>
          <w:szCs w:val="36"/>
          <w:lang w:eastAsia="zh-CN"/>
        </w:rPr>
        <w:t>2018年11月17</w:t>
      </w:r>
      <w:r>
        <w:rPr>
          <w:rFonts w:hint="eastAsia"/>
          <w:sz w:val="36"/>
          <w:szCs w:val="36"/>
          <w:lang w:eastAsia="zh-CN"/>
        </w:rPr>
        <w:t>日</w:t>
      </w:r>
    </w:p>
    <w:p>
      <w:pPr>
        <w:tabs>
          <w:tab w:val="left" w:pos="3663"/>
          <w:tab w:val="left" w:pos="5201"/>
          <w:tab w:val="left" w:pos="6742"/>
        </w:tabs>
        <w:spacing w:line="553" w:lineRule="exact"/>
        <w:rPr>
          <w:sz w:val="36"/>
          <w:szCs w:val="36"/>
          <w:lang w:eastAsia="zh-CN"/>
        </w:rPr>
        <w:sectPr>
          <w:pgSz w:w="11906" w:h="16838"/>
          <w:pgMar w:top="1440" w:right="1800" w:bottom="1440" w:left="1800" w:header="851" w:footer="992" w:gutter="0"/>
          <w:cols w:space="425" w:num="1"/>
          <w:titlePg/>
          <w:docGrid w:type="lines" w:linePitch="312" w:charSpace="0"/>
        </w:sectPr>
      </w:pPr>
    </w:p>
    <w:sdt>
      <w:sdtPr>
        <w:rPr>
          <w:rFonts w:ascii="宋体" w:hAnsi="宋体" w:eastAsia="宋体" w:cs="宋体"/>
          <w:b w:val="0"/>
          <w:bCs w:val="0"/>
          <w:color w:val="auto"/>
          <w:sz w:val="22"/>
          <w:szCs w:val="22"/>
          <w:lang w:val="zh-CN" w:eastAsia="en-US"/>
        </w:rPr>
        <w:id w:val="-44381869"/>
        <w:docPartObj>
          <w:docPartGallery w:val="Table of Contents"/>
          <w:docPartUnique/>
        </w:docPartObj>
      </w:sdtPr>
      <w:sdtEndPr>
        <w:rPr>
          <w:rFonts w:ascii="宋体" w:hAnsi="宋体" w:eastAsia="宋体" w:cs="宋体"/>
          <w:b w:val="0"/>
          <w:bCs w:val="0"/>
          <w:color w:val="auto"/>
          <w:sz w:val="28"/>
          <w:szCs w:val="28"/>
          <w:lang w:val="zh-CN" w:eastAsia="en-US"/>
        </w:rPr>
      </w:sdtEndPr>
      <w:sdtContent>
        <w:p>
          <w:pPr>
            <w:pStyle w:val="39"/>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rPr>
              <w:lang w:val="zh-CN" w:eastAsia="zh-CN"/>
            </w:rPr>
          </w:pPr>
        </w:p>
        <w:p>
          <w:pPr>
            <w:pStyle w:val="19"/>
            <w:tabs>
              <w:tab w:val="right" w:leader="dot" w:pos="8296"/>
            </w:tabs>
            <w:rPr>
              <w:rFonts w:asciiTheme="minorHAnsi" w:hAnsiTheme="minorHAnsi" w:eastAsiaTheme="minorEastAsia" w:cstheme="minorBidi"/>
              <w:kern w:val="2"/>
              <w:sz w:val="28"/>
              <w:szCs w:val="28"/>
              <w:lang w:eastAsia="zh-CN"/>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"_Toc521510885" </w:instrText>
          </w:r>
          <w:r>
            <w:fldChar w:fldCharType="separate"/>
          </w:r>
          <w:r>
            <w:rPr>
              <w:rStyle w:val="27"/>
              <w:rFonts w:hint="eastAsia"/>
              <w:sz w:val="28"/>
              <w:szCs w:val="28"/>
              <w:lang w:eastAsia="zh-CN"/>
            </w:rPr>
            <w:t>第一章</w:t>
          </w:r>
          <w:r>
            <w:rPr>
              <w:rStyle w:val="27"/>
              <w:sz w:val="28"/>
              <w:szCs w:val="28"/>
              <w:lang w:eastAsia="zh-CN"/>
            </w:rPr>
            <w:t xml:space="preserve">  </w:t>
          </w:r>
          <w:r>
            <w:rPr>
              <w:rStyle w:val="27"/>
              <w:rFonts w:hint="eastAsia"/>
              <w:sz w:val="28"/>
              <w:szCs w:val="28"/>
              <w:lang w:eastAsia="zh-CN"/>
            </w:rPr>
            <w:t>比选公告</w:t>
          </w:r>
          <w:r>
            <w:rPr>
              <w:sz w:val="28"/>
              <w:szCs w:val="28"/>
            </w:rPr>
            <w:tab/>
          </w:r>
          <w:r>
            <w:rPr>
              <w:sz w:val="28"/>
              <w:szCs w:val="28"/>
            </w:rPr>
            <w:fldChar w:fldCharType="begin"/>
          </w:r>
          <w:r>
            <w:rPr>
              <w:sz w:val="28"/>
              <w:szCs w:val="28"/>
            </w:rPr>
            <w:instrText xml:space="preserve"> PAGEREF _Toc521510885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9"/>
            <w:tabs>
              <w:tab w:val="right" w:leader="dot" w:pos="8296"/>
            </w:tabs>
            <w:rPr>
              <w:rFonts w:asciiTheme="minorHAnsi" w:hAnsiTheme="minorHAnsi" w:eastAsiaTheme="minorEastAsia" w:cstheme="minorBidi"/>
              <w:kern w:val="2"/>
              <w:sz w:val="28"/>
              <w:szCs w:val="28"/>
              <w:lang w:eastAsia="zh-CN"/>
            </w:rPr>
          </w:pPr>
          <w:r>
            <w:fldChar w:fldCharType="begin"/>
          </w:r>
          <w:r>
            <w:instrText xml:space="preserve"> HYPERLINK \l "_Toc521510886" </w:instrText>
          </w:r>
          <w:r>
            <w:fldChar w:fldCharType="separate"/>
          </w:r>
          <w:r>
            <w:rPr>
              <w:rStyle w:val="27"/>
              <w:rFonts w:hint="eastAsia"/>
              <w:sz w:val="28"/>
              <w:szCs w:val="28"/>
              <w:lang w:eastAsia="zh-CN"/>
            </w:rPr>
            <w:t>第二章</w:t>
          </w:r>
          <w:r>
            <w:rPr>
              <w:rStyle w:val="27"/>
              <w:sz w:val="28"/>
              <w:szCs w:val="28"/>
              <w:lang w:eastAsia="zh-CN"/>
            </w:rPr>
            <w:t xml:space="preserve">  </w:t>
          </w:r>
          <w:r>
            <w:rPr>
              <w:rStyle w:val="27"/>
              <w:rFonts w:hint="eastAsia"/>
              <w:sz w:val="28"/>
              <w:szCs w:val="28"/>
              <w:lang w:eastAsia="zh-CN"/>
            </w:rPr>
            <w:t>比选须知</w:t>
          </w:r>
          <w:r>
            <w:rPr>
              <w:sz w:val="28"/>
              <w:szCs w:val="28"/>
            </w:rPr>
            <w:tab/>
          </w:r>
          <w:r>
            <w:rPr>
              <w:sz w:val="28"/>
              <w:szCs w:val="28"/>
            </w:rPr>
            <w:t>3</w:t>
          </w:r>
          <w:r>
            <w:rPr>
              <w:sz w:val="28"/>
              <w:szCs w:val="28"/>
            </w:rPr>
            <w:fldChar w:fldCharType="end"/>
          </w:r>
        </w:p>
        <w:p>
          <w:pPr>
            <w:pStyle w:val="19"/>
            <w:tabs>
              <w:tab w:val="right" w:leader="dot" w:pos="8296"/>
            </w:tabs>
            <w:rPr>
              <w:rFonts w:asciiTheme="minorHAnsi" w:hAnsiTheme="minorHAnsi" w:eastAsiaTheme="minorEastAsia" w:cstheme="minorBidi"/>
              <w:kern w:val="2"/>
              <w:sz w:val="28"/>
              <w:szCs w:val="28"/>
              <w:lang w:eastAsia="zh-CN"/>
            </w:rPr>
          </w:pPr>
          <w:r>
            <w:fldChar w:fldCharType="begin"/>
          </w:r>
          <w:r>
            <w:instrText xml:space="preserve"> HYPERLINK \l "_Toc521510887" </w:instrText>
          </w:r>
          <w:r>
            <w:fldChar w:fldCharType="separate"/>
          </w:r>
          <w:r>
            <w:rPr>
              <w:rStyle w:val="27"/>
              <w:rFonts w:hint="eastAsia"/>
              <w:sz w:val="28"/>
              <w:szCs w:val="28"/>
              <w:lang w:eastAsia="zh-CN"/>
            </w:rPr>
            <w:t>第三章</w:t>
          </w:r>
          <w:r>
            <w:rPr>
              <w:rStyle w:val="27"/>
              <w:sz w:val="28"/>
              <w:szCs w:val="28"/>
              <w:lang w:eastAsia="zh-CN"/>
            </w:rPr>
            <w:t xml:space="preserve">  </w:t>
          </w:r>
          <w:r>
            <w:rPr>
              <w:rStyle w:val="27"/>
              <w:rFonts w:hint="eastAsia"/>
              <w:sz w:val="28"/>
              <w:szCs w:val="28"/>
              <w:lang w:eastAsia="zh-CN"/>
            </w:rPr>
            <w:t>评审办法</w:t>
          </w:r>
          <w:r>
            <w:rPr>
              <w:sz w:val="28"/>
              <w:szCs w:val="28"/>
            </w:rPr>
            <w:tab/>
          </w:r>
          <w:r>
            <w:rPr>
              <w:sz w:val="28"/>
              <w:szCs w:val="28"/>
            </w:rPr>
            <w:fldChar w:fldCharType="begin"/>
          </w:r>
          <w:r>
            <w:rPr>
              <w:sz w:val="28"/>
              <w:szCs w:val="28"/>
            </w:rPr>
            <w:instrText xml:space="preserve"> PAGEREF _Toc521510887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9"/>
            <w:tabs>
              <w:tab w:val="right" w:leader="dot" w:pos="8296"/>
            </w:tabs>
            <w:rPr>
              <w:rFonts w:asciiTheme="minorHAnsi" w:hAnsiTheme="minorHAnsi" w:eastAsiaTheme="minorEastAsia" w:cstheme="minorBidi"/>
              <w:kern w:val="2"/>
              <w:sz w:val="28"/>
              <w:szCs w:val="28"/>
              <w:lang w:eastAsia="zh-CN"/>
            </w:rPr>
          </w:pPr>
          <w:r>
            <w:fldChar w:fldCharType="begin"/>
          </w:r>
          <w:r>
            <w:instrText xml:space="preserve"> HYPERLINK \l "_Toc521510889" </w:instrText>
          </w:r>
          <w:r>
            <w:fldChar w:fldCharType="separate"/>
          </w:r>
          <w:r>
            <w:rPr>
              <w:rStyle w:val="27"/>
              <w:rFonts w:hint="eastAsia"/>
              <w:sz w:val="28"/>
              <w:szCs w:val="28"/>
              <w:lang w:eastAsia="zh-CN"/>
            </w:rPr>
            <w:t>第四章</w:t>
          </w:r>
          <w:r>
            <w:rPr>
              <w:rStyle w:val="27"/>
              <w:sz w:val="28"/>
              <w:szCs w:val="28"/>
              <w:lang w:eastAsia="zh-CN"/>
            </w:rPr>
            <w:t xml:space="preserve">  </w:t>
          </w:r>
          <w:r>
            <w:rPr>
              <w:rStyle w:val="27"/>
              <w:rFonts w:hint="eastAsia"/>
              <w:sz w:val="28"/>
              <w:szCs w:val="28"/>
              <w:lang w:eastAsia="zh-CN"/>
            </w:rPr>
            <w:t>比选申请文件格式</w:t>
          </w:r>
          <w:r>
            <w:rPr>
              <w:sz w:val="28"/>
              <w:szCs w:val="28"/>
            </w:rPr>
            <w:tab/>
          </w:r>
          <w:r>
            <w:rPr>
              <w:sz w:val="28"/>
              <w:szCs w:val="28"/>
            </w:rPr>
            <w:t>15</w:t>
          </w:r>
          <w:r>
            <w:rPr>
              <w:sz w:val="28"/>
              <w:szCs w:val="28"/>
            </w:rPr>
            <w:fldChar w:fldCharType="end"/>
          </w:r>
        </w:p>
        <w:p>
          <w:pPr>
            <w:rPr>
              <w:sz w:val="28"/>
              <w:szCs w:val="28"/>
            </w:rPr>
            <w:sectPr>
              <w:pgSz w:w="11906" w:h="16838"/>
              <w:pgMar w:top="1440" w:right="1800" w:bottom="1440" w:left="1800" w:header="851" w:footer="992" w:gutter="0"/>
              <w:cols w:space="425" w:num="1"/>
              <w:titlePg/>
              <w:docGrid w:type="lines" w:linePitch="312" w:charSpace="0"/>
            </w:sectPr>
          </w:pPr>
          <w:r>
            <w:rPr>
              <w:b/>
              <w:bCs/>
              <w:sz w:val="28"/>
              <w:szCs w:val="28"/>
              <w:lang w:val="zh-CN"/>
            </w:rPr>
            <w:fldChar w:fldCharType="end"/>
          </w:r>
        </w:p>
      </w:sdtContent>
    </w:sdt>
    <w:p>
      <w:pPr>
        <w:tabs>
          <w:tab w:val="left" w:pos="3663"/>
          <w:tab w:val="left" w:pos="5201"/>
          <w:tab w:val="left" w:pos="6742"/>
        </w:tabs>
        <w:spacing w:line="360" w:lineRule="auto"/>
        <w:jc w:val="center"/>
        <w:outlineLvl w:val="0"/>
        <w:rPr>
          <w:rFonts w:asciiTheme="minorEastAsia" w:hAnsiTheme="minorEastAsia" w:eastAsiaTheme="minorEastAsia"/>
          <w:sz w:val="24"/>
          <w:szCs w:val="24"/>
          <w:lang w:eastAsia="zh-CN"/>
        </w:rPr>
      </w:pPr>
      <w:bookmarkStart w:id="0" w:name="_Toc521510885"/>
      <w:r>
        <w:rPr>
          <w:rFonts w:hint="eastAsia" w:ascii="黑体" w:hAnsi="黑体" w:eastAsia="黑体" w:cs="黑体"/>
          <w:sz w:val="32"/>
          <w:szCs w:val="32"/>
          <w:lang w:eastAsia="zh-CN"/>
        </w:rPr>
        <w:t>第一章  比选</w:t>
      </w:r>
      <w:bookmarkEnd w:id="0"/>
      <w:r>
        <w:rPr>
          <w:rFonts w:hint="eastAsia" w:ascii="黑体" w:hAnsi="黑体" w:eastAsia="黑体" w:cs="黑体"/>
          <w:sz w:val="32"/>
          <w:szCs w:val="32"/>
          <w:lang w:eastAsia="zh-CN"/>
        </w:rPr>
        <w:t>公告</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p>
    <w:p>
      <w:pPr>
        <w:tabs>
          <w:tab w:val="left" w:pos="3663"/>
          <w:tab w:val="left" w:pos="5201"/>
          <w:tab w:val="left" w:pos="6742"/>
        </w:tabs>
        <w:spacing w:line="312"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四川能投建工集团有限公司</w:t>
      </w:r>
      <w:r>
        <w:rPr>
          <w:rFonts w:asciiTheme="minorEastAsia" w:hAnsiTheme="minorEastAsia" w:eastAsiaTheme="minorEastAsia"/>
          <w:sz w:val="24"/>
          <w:szCs w:val="24"/>
          <w:lang w:eastAsia="zh-CN"/>
        </w:rPr>
        <w:t>就</w:t>
      </w:r>
      <w:r>
        <w:rPr>
          <w:rFonts w:hint="eastAsia" w:asciiTheme="minorEastAsia" w:hAnsiTheme="minorEastAsia" w:eastAsiaTheme="minorEastAsia"/>
          <w:sz w:val="24"/>
          <w:szCs w:val="24"/>
          <w:u w:val="single"/>
          <w:lang w:eastAsia="zh-CN"/>
        </w:rPr>
        <w:t>企业年金受托人</w:t>
      </w:r>
      <w:r>
        <w:rPr>
          <w:rFonts w:asciiTheme="minorEastAsia" w:hAnsiTheme="minorEastAsia" w:eastAsiaTheme="minorEastAsia"/>
          <w:sz w:val="24"/>
          <w:szCs w:val="24"/>
          <w:lang w:eastAsia="zh-CN"/>
        </w:rPr>
        <w:t>项目</w:t>
      </w:r>
      <w:r>
        <w:rPr>
          <w:rFonts w:hint="eastAsia" w:asciiTheme="minorEastAsia" w:hAnsiTheme="minorEastAsia" w:eastAsiaTheme="minorEastAsia"/>
          <w:sz w:val="24"/>
          <w:szCs w:val="24"/>
          <w:lang w:eastAsia="zh-CN"/>
        </w:rPr>
        <w:t>组织比选，诚邀符合资格条件的潜在比选申请人参加本项目的比选。</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一、项目概况</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1、项目名称：</w:t>
      </w:r>
      <w:r>
        <w:rPr>
          <w:rFonts w:hint="eastAsia" w:asciiTheme="minorEastAsia" w:hAnsiTheme="minorEastAsia" w:eastAsiaTheme="minorEastAsia"/>
          <w:sz w:val="24"/>
          <w:szCs w:val="24"/>
          <w:lang w:eastAsia="zh-CN"/>
        </w:rPr>
        <w:t>企业年金受托人项目。</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2、资金来源：</w:t>
      </w:r>
      <w:r>
        <w:rPr>
          <w:rFonts w:hint="eastAsia" w:asciiTheme="minorEastAsia" w:hAnsiTheme="minorEastAsia" w:eastAsiaTheme="minorEastAsia"/>
          <w:sz w:val="24"/>
          <w:szCs w:val="24"/>
          <w:lang w:eastAsia="zh-CN"/>
        </w:rPr>
        <w:t>企业与员工共同缴纳。</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3、工作内容：</w:t>
      </w:r>
      <w:r>
        <w:rPr>
          <w:rFonts w:hint="eastAsia" w:asciiTheme="minorEastAsia" w:hAnsiTheme="minorEastAsia" w:eastAsiaTheme="minorEastAsia"/>
          <w:sz w:val="24"/>
          <w:szCs w:val="24"/>
          <w:lang w:eastAsia="zh-CN"/>
        </w:rPr>
        <w:t>企业年金受托服务。</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4、服务期限：</w:t>
      </w:r>
      <w:r>
        <w:rPr>
          <w:rFonts w:asciiTheme="minorEastAsia" w:hAnsiTheme="minorEastAsia" w:eastAsiaTheme="minorEastAsia"/>
          <w:color w:val="000000" w:themeColor="text1"/>
          <w:sz w:val="24"/>
          <w:szCs w:val="24"/>
          <w:lang w:eastAsia="zh-CN"/>
          <w14:textFill>
            <w14:solidFill>
              <w14:schemeClr w14:val="tx1"/>
            </w14:solidFill>
          </w14:textFill>
        </w:rPr>
        <w:t>36</w:t>
      </w:r>
      <w:r>
        <w:rPr>
          <w:rFonts w:hint="eastAsia" w:asciiTheme="minorEastAsia" w:hAnsiTheme="minorEastAsia" w:eastAsiaTheme="minorEastAsia"/>
          <w:color w:val="000000" w:themeColor="text1"/>
          <w:sz w:val="24"/>
          <w:szCs w:val="24"/>
          <w:lang w:eastAsia="zh-CN"/>
          <w14:textFill>
            <w14:solidFill>
              <w14:schemeClr w14:val="tx1"/>
            </w14:solidFill>
          </w14:textFill>
        </w:rPr>
        <w:t>个月</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5、质量要求：</w:t>
      </w:r>
      <w:r>
        <w:rPr>
          <w:rFonts w:hint="eastAsia" w:asciiTheme="minorEastAsia" w:hAnsiTheme="minorEastAsia" w:eastAsiaTheme="minorEastAsia"/>
          <w:sz w:val="24"/>
          <w:szCs w:val="24"/>
          <w:lang w:eastAsia="zh-CN"/>
        </w:rPr>
        <w:t>能依靠完善的风险控制体系，对各管理人进行持续性监督，使企业年金资产在控制风险、保证安全前提下获得合理收益；确保企业年金运营和投资运作规范透明；确保信息披露规范及时。</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二、比选申请人资格要求</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1、一般要求：</w:t>
      </w:r>
      <w:r>
        <w:rPr>
          <w:rFonts w:hint="eastAsia" w:asciiTheme="minorEastAsia" w:hAnsiTheme="minorEastAsia" w:eastAsiaTheme="minorEastAsia"/>
          <w:sz w:val="24"/>
          <w:szCs w:val="24"/>
          <w:lang w:eastAsia="zh-CN"/>
        </w:rPr>
        <w:t>经国家金融监管部门批准，在中国境内注册的独立法人</w:t>
      </w:r>
      <w:r>
        <w:rPr>
          <w:rFonts w:asciiTheme="minorEastAsia" w:hAnsiTheme="minorEastAsia" w:eastAsiaTheme="minorEastAsia"/>
          <w:sz w:val="24"/>
          <w:szCs w:val="24"/>
          <w:lang w:eastAsia="zh-CN"/>
        </w:rPr>
        <w:t>。</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2、资质要求：</w:t>
      </w:r>
      <w:r>
        <w:rPr>
          <w:rFonts w:hint="eastAsia" w:asciiTheme="minorEastAsia" w:hAnsiTheme="minorEastAsia" w:eastAsiaTheme="minorEastAsia"/>
          <w:sz w:val="24"/>
          <w:szCs w:val="24"/>
          <w:lang w:eastAsia="zh-CN"/>
        </w:rPr>
        <w:t>获得国家人力资源和社会保障部企业年金受托人资格；</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3、其他要求：</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（1）注册资本不少于5亿元人民币；</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（2）符合《企业年金基金管理办法》的其他相关规定。</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4、本项目</w:t>
      </w:r>
      <w:r>
        <w:rPr>
          <w:rFonts w:asciiTheme="minorEastAsia" w:hAnsiTheme="minorEastAsia" w:eastAsiaTheme="minorEastAsia"/>
          <w:sz w:val="24"/>
          <w:szCs w:val="24"/>
          <w:u w:val="single"/>
          <w:lang w:eastAsia="zh-CN"/>
        </w:rPr>
        <w:t>不接受</w:t>
      </w:r>
      <w:r>
        <w:rPr>
          <w:rFonts w:asciiTheme="minorEastAsia" w:hAnsiTheme="minorEastAsia" w:eastAsiaTheme="minorEastAsia"/>
          <w:sz w:val="24"/>
          <w:szCs w:val="24"/>
          <w:lang w:eastAsia="zh-CN"/>
        </w:rPr>
        <w:t>联合体参加</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三、报名及购买比选文件</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请有意参加本项目竞争的比选申请人，请于2018</w:t>
      </w:r>
      <w:r>
        <w:rPr>
          <w:rFonts w:asciiTheme="minorEastAsia" w:hAnsiTheme="minorEastAsia" w:eastAsiaTheme="minorEastAsia"/>
          <w:sz w:val="24"/>
          <w:szCs w:val="24"/>
          <w:lang w:eastAsia="zh-CN"/>
        </w:rPr>
        <w:t>年</w:t>
      </w:r>
      <w:r>
        <w:rPr>
          <w:rFonts w:asciiTheme="minorEastAsia" w:hAnsiTheme="minorEastAsia" w:eastAsiaTheme="minorEastAsia"/>
          <w:sz w:val="24"/>
          <w:szCs w:val="24"/>
          <w:u w:val="single"/>
          <w:lang w:eastAsia="zh-CN"/>
        </w:rPr>
        <w:t>11</w:t>
      </w:r>
      <w:r>
        <w:rPr>
          <w:rFonts w:asciiTheme="minorEastAsia" w:hAnsiTheme="minorEastAsia" w:eastAsiaTheme="minorEastAsia"/>
          <w:sz w:val="24"/>
          <w:szCs w:val="24"/>
          <w:lang w:eastAsia="zh-CN"/>
        </w:rPr>
        <w:t>月20日至</w:t>
      </w:r>
      <w:r>
        <w:rPr>
          <w:rFonts w:hint="eastAsia" w:asciiTheme="minorEastAsia" w:hAnsiTheme="minorEastAsia" w:eastAsiaTheme="minorEastAsia"/>
          <w:sz w:val="24"/>
          <w:szCs w:val="24"/>
          <w:lang w:eastAsia="zh-CN"/>
        </w:rPr>
        <w:t>2018</w:t>
      </w:r>
      <w:r>
        <w:rPr>
          <w:rFonts w:asciiTheme="minorEastAsia" w:hAnsiTheme="minorEastAsia" w:eastAsiaTheme="minorEastAsia"/>
          <w:sz w:val="24"/>
          <w:szCs w:val="24"/>
          <w:lang w:eastAsia="zh-CN"/>
        </w:rPr>
        <w:t>年</w:t>
      </w:r>
      <w:r>
        <w:rPr>
          <w:rFonts w:asciiTheme="minorEastAsia" w:hAnsiTheme="minorEastAsia" w:eastAsiaTheme="minorEastAsia"/>
          <w:sz w:val="24"/>
          <w:szCs w:val="24"/>
          <w:u w:val="single"/>
          <w:lang w:eastAsia="zh-CN"/>
        </w:rPr>
        <w:t>11</w:t>
      </w:r>
      <w:r>
        <w:rPr>
          <w:rFonts w:asciiTheme="minorEastAsia" w:hAnsiTheme="minorEastAsia" w:eastAsiaTheme="minorEastAsia"/>
          <w:sz w:val="24"/>
          <w:szCs w:val="24"/>
          <w:lang w:eastAsia="zh-CN"/>
        </w:rPr>
        <w:t>月22日，每日上午</w:t>
      </w:r>
      <w:r>
        <w:rPr>
          <w:rFonts w:hint="eastAsia" w:asciiTheme="minorEastAsia" w:hAnsiTheme="minorEastAsia" w:eastAsiaTheme="minorEastAsia"/>
          <w:sz w:val="24"/>
          <w:szCs w:val="24"/>
          <w:u w:val="single"/>
          <w:lang w:eastAsia="zh-CN"/>
        </w:rPr>
        <w:t>09</w:t>
      </w:r>
      <w:r>
        <w:rPr>
          <w:rFonts w:asciiTheme="minorEastAsia" w:hAnsiTheme="minorEastAsia" w:eastAsiaTheme="minorEastAsia"/>
          <w:sz w:val="24"/>
          <w:szCs w:val="24"/>
          <w:lang w:eastAsia="zh-CN"/>
        </w:rPr>
        <w:t>时至</w:t>
      </w:r>
      <w:r>
        <w:rPr>
          <w:rFonts w:hint="eastAsia" w:asciiTheme="minorEastAsia" w:hAnsiTheme="minorEastAsia" w:eastAsiaTheme="minorEastAsia"/>
          <w:sz w:val="24"/>
          <w:szCs w:val="24"/>
          <w:u w:val="single"/>
          <w:lang w:eastAsia="zh-CN"/>
        </w:rPr>
        <w:t>12</w:t>
      </w:r>
      <w:r>
        <w:rPr>
          <w:rFonts w:asciiTheme="minorEastAsia" w:hAnsiTheme="minorEastAsia" w:eastAsiaTheme="minorEastAsia"/>
          <w:sz w:val="24"/>
          <w:szCs w:val="24"/>
          <w:lang w:eastAsia="zh-CN"/>
        </w:rPr>
        <w:t>时，下午</w:t>
      </w:r>
      <w:r>
        <w:rPr>
          <w:rFonts w:hint="eastAsia" w:asciiTheme="minorEastAsia" w:hAnsiTheme="minorEastAsia" w:eastAsiaTheme="minorEastAsia"/>
          <w:sz w:val="24"/>
          <w:szCs w:val="24"/>
          <w:u w:val="single"/>
          <w:lang w:eastAsia="zh-CN"/>
        </w:rPr>
        <w:t>13</w:t>
      </w:r>
      <w:r>
        <w:rPr>
          <w:rFonts w:asciiTheme="minorEastAsia" w:hAnsiTheme="minorEastAsia" w:eastAsiaTheme="minorEastAsia"/>
          <w:sz w:val="24"/>
          <w:szCs w:val="24"/>
          <w:lang w:eastAsia="zh-CN"/>
        </w:rPr>
        <w:t>时至</w:t>
      </w:r>
      <w:r>
        <w:rPr>
          <w:rFonts w:hint="eastAsia" w:asciiTheme="minorEastAsia" w:hAnsiTheme="minorEastAsia" w:eastAsiaTheme="minorEastAsia"/>
          <w:sz w:val="24"/>
          <w:szCs w:val="24"/>
          <w:u w:val="single"/>
          <w:lang w:eastAsia="zh-CN"/>
        </w:rPr>
        <w:t>17</w:t>
      </w:r>
      <w:r>
        <w:rPr>
          <w:rFonts w:asciiTheme="minorEastAsia" w:hAnsiTheme="minorEastAsia" w:eastAsiaTheme="minorEastAsia"/>
          <w:sz w:val="24"/>
          <w:szCs w:val="24"/>
          <w:lang w:eastAsia="zh-CN"/>
        </w:rPr>
        <w:t>时（北京时间，下同）持以下资料在</w:t>
      </w:r>
      <w:r>
        <w:rPr>
          <w:rFonts w:hint="eastAsia" w:asciiTheme="minorEastAsia" w:hAnsiTheme="minorEastAsia" w:eastAsiaTheme="minorEastAsia"/>
          <w:sz w:val="24"/>
          <w:szCs w:val="24"/>
          <w:u w:val="single"/>
          <w:lang w:eastAsia="zh-CN"/>
        </w:rPr>
        <w:t>成都市锦江区下东大街258号西部国际金融中心2号楼17F（四川能投建工集团有限公司）经营管理部</w:t>
      </w:r>
      <w:r>
        <w:rPr>
          <w:rFonts w:asciiTheme="minorEastAsia" w:hAnsiTheme="minorEastAsia" w:eastAsiaTheme="minorEastAsia"/>
          <w:sz w:val="24"/>
          <w:szCs w:val="24"/>
          <w:lang w:eastAsia="zh-CN"/>
        </w:rPr>
        <w:t>购买</w:t>
      </w:r>
      <w:r>
        <w:rPr>
          <w:rFonts w:hint="eastAsia" w:asciiTheme="minorEastAsia" w:hAnsiTheme="minorEastAsia" w:eastAsiaTheme="minorEastAsia"/>
          <w:sz w:val="24"/>
          <w:szCs w:val="24"/>
          <w:lang w:eastAsia="zh-CN"/>
        </w:rPr>
        <w:t>比选</w:t>
      </w:r>
      <w:bookmarkStart w:id="30" w:name="_GoBack"/>
      <w:bookmarkEnd w:id="30"/>
      <w:r>
        <w:rPr>
          <w:rFonts w:asciiTheme="minorEastAsia" w:hAnsiTheme="minorEastAsia" w:eastAsiaTheme="minorEastAsia"/>
          <w:sz w:val="24"/>
          <w:szCs w:val="24"/>
          <w:lang w:eastAsia="zh-CN"/>
        </w:rPr>
        <w:t>文件：</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1、购买人有效身份证及单位介绍信；</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2、注册于中华人民共和国的企业法人营业执照副本；</w:t>
      </w:r>
    </w:p>
    <w:p>
      <w:pPr>
        <w:tabs>
          <w:tab w:val="left" w:pos="3663"/>
          <w:tab w:val="left" w:pos="5201"/>
          <w:tab w:val="left" w:pos="6742"/>
        </w:tabs>
        <w:spacing w:line="312" w:lineRule="auto"/>
        <w:ind w:right="561"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3、资质证书副本：</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四、比选文件递交截止时间及递交地点</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文件递交的截止时间（</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 xml:space="preserve">申请截止时间，下同）为 </w:t>
      </w:r>
      <w:r>
        <w:rPr>
          <w:rFonts w:hint="eastAsia" w:asciiTheme="minorEastAsia" w:hAnsiTheme="minorEastAsia" w:eastAsiaTheme="minorEastAsia"/>
          <w:sz w:val="24"/>
          <w:szCs w:val="24"/>
          <w:lang w:eastAsia="zh-CN"/>
        </w:rPr>
        <w:t>2018</w:t>
      </w:r>
      <w:r>
        <w:rPr>
          <w:rFonts w:asciiTheme="minorEastAsia" w:hAnsiTheme="minorEastAsia" w:eastAsiaTheme="minorEastAsia"/>
          <w:sz w:val="24"/>
          <w:szCs w:val="24"/>
          <w:lang w:eastAsia="zh-CN"/>
        </w:rPr>
        <w:t xml:space="preserve">年 </w:t>
      </w:r>
      <w:r>
        <w:rPr>
          <w:rFonts w:asciiTheme="minorEastAsia" w:hAnsiTheme="minorEastAsia" w:eastAsiaTheme="minorEastAsia"/>
          <w:sz w:val="24"/>
          <w:szCs w:val="24"/>
          <w:u w:val="single"/>
          <w:lang w:eastAsia="zh-CN"/>
        </w:rPr>
        <w:t>11</w:t>
      </w:r>
      <w:r>
        <w:rPr>
          <w:rFonts w:asciiTheme="minorEastAsia" w:hAnsiTheme="minorEastAsia" w:eastAsiaTheme="minorEastAsia"/>
          <w:sz w:val="24"/>
          <w:szCs w:val="24"/>
          <w:lang w:eastAsia="zh-CN"/>
        </w:rPr>
        <w:t>月2</w:t>
      </w: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lang w:eastAsia="zh-CN"/>
        </w:rPr>
        <w:t>日</w:t>
      </w:r>
      <w:r>
        <w:rPr>
          <w:rFonts w:asciiTheme="minorEastAsia" w:hAnsiTheme="minorEastAsia" w:eastAsiaTheme="minorEastAsia"/>
          <w:sz w:val="24"/>
          <w:szCs w:val="24"/>
          <w:u w:val="single"/>
          <w:lang w:eastAsia="zh-CN"/>
        </w:rPr>
        <w:t>15</w:t>
      </w:r>
      <w:r>
        <w:rPr>
          <w:rFonts w:asciiTheme="minorEastAsia" w:hAnsiTheme="minorEastAsia" w:eastAsiaTheme="minorEastAsia"/>
          <w:sz w:val="24"/>
          <w:szCs w:val="24"/>
          <w:lang w:eastAsia="zh-CN"/>
        </w:rPr>
        <w:t>时</w:t>
      </w:r>
      <w:r>
        <w:rPr>
          <w:rFonts w:hint="eastAsia" w:asciiTheme="minorEastAsia" w:hAnsiTheme="minorEastAsia" w:eastAsiaTheme="minorEastAsia"/>
          <w:sz w:val="24"/>
          <w:szCs w:val="24"/>
          <w:u w:val="single"/>
          <w:lang w:eastAsia="zh-CN"/>
        </w:rPr>
        <w:t>00</w:t>
      </w:r>
      <w:r>
        <w:rPr>
          <w:rFonts w:asciiTheme="minorEastAsia" w:hAnsiTheme="minorEastAsia" w:eastAsiaTheme="minorEastAsia"/>
          <w:sz w:val="24"/>
          <w:szCs w:val="24"/>
          <w:lang w:eastAsia="zh-CN"/>
        </w:rPr>
        <w:t>分，地点为</w:t>
      </w:r>
      <w:r>
        <w:rPr>
          <w:rFonts w:hint="eastAsia" w:asciiTheme="minorEastAsia" w:hAnsiTheme="minorEastAsia" w:eastAsiaTheme="minorEastAsia"/>
          <w:sz w:val="24"/>
          <w:szCs w:val="24"/>
          <w:u w:val="single"/>
          <w:lang w:eastAsia="zh-CN"/>
        </w:rPr>
        <w:t>成都市锦江区下东大街258号西部国际金融中心2号楼17F（四川能投建工集团有限公司）</w:t>
      </w:r>
      <w:r>
        <w:rPr>
          <w:rFonts w:asciiTheme="minorEastAsia" w:hAnsiTheme="minorEastAsia" w:eastAsiaTheme="minorEastAsia"/>
          <w:sz w:val="24"/>
          <w:szCs w:val="24"/>
          <w:u w:val="single"/>
          <w:lang w:eastAsia="zh-CN"/>
        </w:rPr>
        <w:t>2</w:t>
      </w:r>
      <w:r>
        <w:rPr>
          <w:rFonts w:hint="eastAsia" w:asciiTheme="minorEastAsia" w:hAnsiTheme="minorEastAsia" w:eastAsiaTheme="minorEastAsia"/>
          <w:sz w:val="24"/>
          <w:szCs w:val="24"/>
          <w:u w:val="single"/>
          <w:lang w:eastAsia="zh-CN"/>
        </w:rPr>
        <w:t>号会议室</w:t>
      </w:r>
      <w:r>
        <w:rPr>
          <w:rFonts w:hint="eastAsia" w:asciiTheme="minorEastAsia" w:hAnsiTheme="minorEastAsia" w:eastAsiaTheme="minorEastAsia"/>
          <w:sz w:val="24"/>
          <w:szCs w:val="24"/>
          <w:lang w:eastAsia="zh-CN"/>
        </w:rPr>
        <w:t>。</w:t>
      </w:r>
    </w:p>
    <w:p>
      <w:pPr>
        <w:tabs>
          <w:tab w:val="left" w:pos="3663"/>
          <w:tab w:val="left" w:pos="5201"/>
          <w:tab w:val="left" w:pos="6742"/>
        </w:tabs>
        <w:spacing w:line="312"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2、逾期送达的或者未送达指定地点的</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文件，</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人不予受理。</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五、发布公告的媒体</w:t>
      </w:r>
    </w:p>
    <w:p>
      <w:pPr>
        <w:tabs>
          <w:tab w:val="left" w:pos="3663"/>
          <w:tab w:val="left" w:pos="5201"/>
          <w:tab w:val="left" w:pos="6742"/>
        </w:tabs>
        <w:spacing w:line="312"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本比选公告在</w:t>
      </w:r>
      <w:r>
        <w:rPr>
          <w:rFonts w:hint="eastAsia" w:asciiTheme="minorEastAsia" w:hAnsiTheme="minorEastAsia" w:eastAsiaTheme="minorEastAsia"/>
          <w:sz w:val="24"/>
          <w:szCs w:val="24"/>
          <w:u w:val="single"/>
          <w:lang w:eastAsia="zh-CN"/>
        </w:rPr>
        <w:t xml:space="preserve"> http://www.scntjgjt.com/</w:t>
      </w:r>
      <w:r>
        <w:rPr>
          <w:rFonts w:hint="eastAsia" w:asciiTheme="minorEastAsia" w:hAnsiTheme="minorEastAsia" w:eastAsiaTheme="minorEastAsia"/>
          <w:sz w:val="24"/>
          <w:szCs w:val="24"/>
          <w:lang w:eastAsia="zh-CN"/>
        </w:rPr>
        <w:t>上发布。</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六、联系方式</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采购人：四川能投建工集团有限公司</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地</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址：</w:t>
      </w:r>
      <w:r>
        <w:rPr>
          <w:rFonts w:hint="eastAsia" w:asciiTheme="minorEastAsia" w:hAnsiTheme="minorEastAsia" w:eastAsiaTheme="minorEastAsia"/>
          <w:sz w:val="24"/>
          <w:szCs w:val="24"/>
          <w:lang w:eastAsia="zh-CN"/>
        </w:rPr>
        <w:t>成都市锦江区下东大街</w:t>
      </w:r>
      <w:r>
        <w:rPr>
          <w:rFonts w:asciiTheme="minorEastAsia" w:hAnsiTheme="minorEastAsia" w:eastAsiaTheme="minorEastAsia"/>
          <w:sz w:val="24"/>
          <w:szCs w:val="24"/>
          <w:lang w:eastAsia="zh-CN"/>
        </w:rPr>
        <w:t>258号西部国际金融中心2号楼17F</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联系人：</w:t>
      </w:r>
      <w:r>
        <w:rPr>
          <w:rFonts w:hint="eastAsia" w:asciiTheme="minorEastAsia" w:hAnsiTheme="minorEastAsia" w:eastAsiaTheme="minorEastAsia"/>
          <w:sz w:val="24"/>
          <w:szCs w:val="24"/>
          <w:lang w:eastAsia="zh-CN"/>
        </w:rPr>
        <w:t>刘先生</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联系电话：028-62677598 </w:t>
      </w:r>
    </w:p>
    <w:p>
      <w:pPr>
        <w:tabs>
          <w:tab w:val="left" w:pos="3663"/>
          <w:tab w:val="left" w:pos="5201"/>
          <w:tab w:val="left" w:pos="6742"/>
        </w:tabs>
        <w:spacing w:line="360" w:lineRule="auto"/>
        <w:ind w:firstLine="480" w:firstLineChars="200"/>
        <w:rPr>
          <w:rFonts w:asciiTheme="minorEastAsia" w:hAnsiTheme="minorEastAsia" w:eastAsiaTheme="minorEastAsia"/>
          <w:sz w:val="24"/>
          <w:szCs w:val="24"/>
          <w:lang w:eastAsia="zh-CN"/>
        </w:rPr>
      </w:pPr>
    </w:p>
    <w:p>
      <w:pPr>
        <w:tabs>
          <w:tab w:val="left" w:pos="3663"/>
          <w:tab w:val="left" w:pos="5201"/>
          <w:tab w:val="left" w:pos="6742"/>
        </w:tabs>
        <w:spacing w:line="360" w:lineRule="auto"/>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2018</w:t>
      </w:r>
      <w:r>
        <w:rPr>
          <w:rFonts w:asciiTheme="minorEastAsia" w:hAnsiTheme="minorEastAsia" w:eastAsiaTheme="minorEastAsia"/>
          <w:sz w:val="24"/>
          <w:szCs w:val="24"/>
          <w:lang w:eastAsia="zh-CN"/>
        </w:rPr>
        <w:t>年</w:t>
      </w:r>
      <w:r>
        <w:rPr>
          <w:rFonts w:asciiTheme="minorEastAsia" w:hAnsiTheme="minorEastAsia" w:eastAsiaTheme="minorEastAsia"/>
          <w:sz w:val="24"/>
          <w:szCs w:val="24"/>
          <w:u w:val="single"/>
          <w:lang w:eastAsia="zh-CN"/>
        </w:rPr>
        <w:t>11</w:t>
      </w:r>
      <w:r>
        <w:rPr>
          <w:rFonts w:asciiTheme="minorEastAsia" w:hAnsiTheme="minorEastAsia" w:eastAsiaTheme="minorEastAsia"/>
          <w:sz w:val="24"/>
          <w:szCs w:val="24"/>
          <w:lang w:eastAsia="zh-CN"/>
        </w:rPr>
        <w:t>月</w:t>
      </w:r>
      <w:r>
        <w:rPr>
          <w:rFonts w:asciiTheme="minorEastAsia" w:hAnsiTheme="minorEastAsia" w:eastAsiaTheme="minorEastAsia"/>
          <w:sz w:val="24"/>
          <w:szCs w:val="24"/>
          <w:u w:val="single"/>
          <w:lang w:eastAsia="zh-CN"/>
        </w:rPr>
        <w:t>20</w:t>
      </w:r>
      <w:r>
        <w:rPr>
          <w:rFonts w:asciiTheme="minorEastAsia" w:hAnsiTheme="minorEastAsia" w:eastAsiaTheme="minorEastAsia"/>
          <w:sz w:val="24"/>
          <w:szCs w:val="24"/>
          <w:lang w:eastAsia="zh-CN"/>
        </w:rPr>
        <w:t>日</w:t>
      </w:r>
    </w:p>
    <w:p>
      <w:pPr>
        <w:tabs>
          <w:tab w:val="left" w:pos="3663"/>
          <w:tab w:val="left" w:pos="5201"/>
          <w:tab w:val="left" w:pos="6742"/>
        </w:tabs>
        <w:spacing w:line="312" w:lineRule="auto"/>
        <w:ind w:right="5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tabs>
          <w:tab w:val="left" w:pos="3663"/>
          <w:tab w:val="left" w:pos="5201"/>
          <w:tab w:val="left" w:pos="6742"/>
        </w:tabs>
        <w:spacing w:line="360" w:lineRule="auto"/>
        <w:jc w:val="center"/>
        <w:outlineLvl w:val="0"/>
        <w:rPr>
          <w:rFonts w:hint="eastAsia" w:ascii="黑体" w:hAnsi="黑体" w:eastAsia="黑体" w:cs="黑体"/>
          <w:sz w:val="32"/>
          <w:szCs w:val="32"/>
          <w:lang w:eastAsia="zh-CN"/>
        </w:rPr>
      </w:pPr>
      <w:bookmarkStart w:id="1" w:name="_Toc521510886"/>
      <w:r>
        <w:rPr>
          <w:rFonts w:hint="eastAsia" w:ascii="黑体" w:hAnsi="黑体" w:eastAsia="黑体" w:cs="黑体"/>
          <w:sz w:val="32"/>
          <w:szCs w:val="32"/>
          <w:lang w:eastAsia="zh-CN"/>
        </w:rPr>
        <w:t>第二章  比选须知</w:t>
      </w:r>
      <w:bookmarkEnd w:id="1"/>
    </w:p>
    <w:p>
      <w:pPr>
        <w:rPr>
          <w:rFonts w:asciiTheme="minorEastAsia" w:hAnsiTheme="minorEastAsia" w:eastAsiaTheme="minorEastAsia"/>
          <w:sz w:val="24"/>
          <w:szCs w:val="24"/>
          <w:lang w:eastAsia="zh-CN"/>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01"/>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701" w:type="dxa"/>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条款名称</w:t>
            </w:r>
          </w:p>
        </w:tc>
        <w:tc>
          <w:tcPr>
            <w:tcW w:w="6005" w:type="dxa"/>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比选</w:t>
            </w:r>
            <w:r>
              <w:rPr>
                <w:rFonts w:hint="eastAsia" w:asciiTheme="minorEastAsia" w:hAnsiTheme="minorEastAsia" w:eastAsiaTheme="minorEastAsia"/>
                <w:sz w:val="24"/>
                <w:szCs w:val="24"/>
              </w:rPr>
              <w:t>人</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名  称：四川能投建工集团有限公司</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地  址：成都市锦江区下东大街</w:t>
            </w:r>
            <w:r>
              <w:rPr>
                <w:rFonts w:asciiTheme="minorEastAsia" w:hAnsiTheme="minorEastAsia" w:eastAsiaTheme="minorEastAsia"/>
                <w:sz w:val="24"/>
                <w:szCs w:val="24"/>
                <w:lang w:eastAsia="zh-CN"/>
              </w:rPr>
              <w:t>258号西部国际金融中心2号楼17F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比选</w:t>
            </w:r>
            <w:r>
              <w:rPr>
                <w:rFonts w:hint="eastAsia" w:asciiTheme="minorEastAsia" w:hAnsiTheme="minorEastAsia" w:eastAsiaTheme="minorEastAsia"/>
                <w:sz w:val="24"/>
                <w:szCs w:val="24"/>
              </w:rPr>
              <w:t>项目名称</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企业年金受托人项目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资金来源</w:t>
            </w:r>
          </w:p>
        </w:tc>
        <w:tc>
          <w:tcPr>
            <w:tcW w:w="6005"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企业与员工共同缴纳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比选</w:t>
            </w:r>
            <w:r>
              <w:rPr>
                <w:rFonts w:hint="eastAsia" w:asciiTheme="minorEastAsia" w:hAnsiTheme="minorEastAsia" w:eastAsiaTheme="minorEastAsia"/>
                <w:sz w:val="24"/>
                <w:szCs w:val="24"/>
              </w:rPr>
              <w:t>方式</w:t>
            </w:r>
          </w:p>
        </w:tc>
        <w:tc>
          <w:tcPr>
            <w:tcW w:w="6005"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公开</w:t>
            </w:r>
            <w:r>
              <w:rPr>
                <w:rFonts w:hint="eastAsia" w:asciiTheme="minorEastAsia" w:hAnsiTheme="minorEastAsia" w:eastAsiaTheme="minorEastAsia"/>
                <w:sz w:val="24"/>
                <w:szCs w:val="24"/>
                <w:lang w:eastAsia="zh-CN"/>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能依靠完善的风险控制体系，对各管理人进行持续性监督，使企业年金资产在控制风险、保证安全前提下获得合理收益；确保企业年金运营和投资运作规范透明；确保信息披露规范及时。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服务期限</w:t>
            </w:r>
          </w:p>
        </w:tc>
        <w:tc>
          <w:tcPr>
            <w:tcW w:w="6005" w:type="dxa"/>
            <w:vAlign w:val="center"/>
          </w:tcPr>
          <w:p>
            <w:pPr>
              <w:spacing w:line="360" w:lineRule="auto"/>
              <w:rPr>
                <w:rFonts w:asciiTheme="minorEastAsia" w:hAnsiTheme="minorEastAsia" w:eastAsiaTheme="minorEastAsia"/>
                <w:color w:val="FF0000"/>
                <w:sz w:val="24"/>
                <w:szCs w:val="24"/>
              </w:rPr>
            </w:pPr>
            <w:r>
              <w:rPr>
                <w:rFonts w:asciiTheme="minorEastAsia" w:hAnsiTheme="minorEastAsia" w:eastAsiaTheme="minorEastAsia"/>
                <w:color w:val="000000" w:themeColor="text1"/>
                <w:sz w:val="24"/>
                <w:szCs w:val="24"/>
                <w:u w:val="single"/>
                <w:lang w:eastAsia="zh-CN"/>
                <w14:textFill>
                  <w14:solidFill>
                    <w14:schemeClr w14:val="tx1"/>
                  </w14:solidFill>
                </w14:textFill>
              </w:rPr>
              <w:t>36</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联合体</w:t>
            </w:r>
          </w:p>
        </w:tc>
        <w:tc>
          <w:tcPr>
            <w:tcW w:w="6005"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□接受</w:t>
            </w:r>
          </w:p>
          <w:p>
            <w:pPr>
              <w:spacing w:line="360" w:lineRule="auto"/>
              <w:rPr>
                <w:rFonts w:asciiTheme="minorEastAsia" w:hAnsiTheme="minorEastAsia" w:eastAsiaTheme="minorEastAsia"/>
                <w:sz w:val="24"/>
                <w:szCs w:val="24"/>
              </w:rPr>
            </w:pPr>
            <w:r>
              <w:rPr>
                <w:rFonts w:ascii="Segoe UI Symbol" w:hAnsi="Segoe UI Symbol" w:cs="Segoe UI Symbol" w:eastAsiaTheme="minorEastAsia"/>
                <w:sz w:val="24"/>
                <w:szCs w:val="24"/>
              </w:rPr>
              <w:t>☑</w:t>
            </w:r>
            <w:r>
              <w:rPr>
                <w:rFonts w:hint="eastAsia" w:asciiTheme="minorEastAsia" w:hAnsiTheme="minorEastAsia" w:eastAsia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答疑会</w:t>
            </w:r>
          </w:p>
        </w:tc>
        <w:tc>
          <w:tcPr>
            <w:tcW w:w="6005" w:type="dxa"/>
            <w:vAlign w:val="center"/>
          </w:tcPr>
          <w:p>
            <w:pPr>
              <w:spacing w:line="360" w:lineRule="auto"/>
              <w:rPr>
                <w:rFonts w:asciiTheme="minorEastAsia" w:hAnsiTheme="minorEastAsia" w:eastAsiaTheme="minorEastAsia"/>
                <w:sz w:val="24"/>
                <w:szCs w:val="24"/>
                <w:lang w:eastAsia="zh-CN"/>
              </w:rPr>
            </w:pPr>
            <w:r>
              <w:rPr>
                <w:rFonts w:ascii="Segoe UI Symbol" w:hAnsi="Segoe UI Symbol" w:cs="Segoe UI Symbol" w:eastAsiaTheme="minorEastAsia"/>
                <w:sz w:val="24"/>
                <w:szCs w:val="24"/>
                <w:lang w:eastAsia="zh-CN"/>
              </w:rPr>
              <w:t>☑</w:t>
            </w:r>
            <w:r>
              <w:rPr>
                <w:rFonts w:hint="eastAsia" w:asciiTheme="minorEastAsia" w:hAnsiTheme="minorEastAsia" w:eastAsiaTheme="minorEastAsia"/>
                <w:sz w:val="24"/>
                <w:szCs w:val="24"/>
                <w:lang w:eastAsia="zh-CN"/>
              </w:rPr>
              <w:t>不召开</w:t>
            </w:r>
          </w:p>
          <w:p>
            <w:pPr>
              <w:spacing w:line="360" w:lineRule="auto"/>
              <w:rPr>
                <w:rFonts w:asciiTheme="minorEastAsia" w:hAnsiTheme="minorEastAsia" w:eastAsiaTheme="minorEastAsia"/>
                <w:sz w:val="24"/>
                <w:szCs w:val="24"/>
                <w:lang w:eastAsia="zh-CN"/>
              </w:rPr>
            </w:pPr>
            <w:r>
              <w:rPr>
                <w:rFonts w:hint="eastAsia" w:cs="MS Mincho" w:asciiTheme="minorEastAsia" w:hAnsiTheme="minorEastAsia" w:eastAsiaTheme="minorEastAsia"/>
                <w:sz w:val="24"/>
                <w:szCs w:val="24"/>
                <w:lang w:eastAsia="zh-CN"/>
              </w:rPr>
              <w:t>□召开，召开</w:t>
            </w:r>
            <w:r>
              <w:rPr>
                <w:rFonts w:hint="eastAsia" w:cs="微软雅黑" w:asciiTheme="minorEastAsia" w:hAnsiTheme="minorEastAsia" w:eastAsiaTheme="minorEastAsia"/>
                <w:sz w:val="24"/>
                <w:szCs w:val="24"/>
                <w:lang w:eastAsia="zh-CN"/>
              </w:rPr>
              <w:t>时间</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召开地点：</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注：本项为单项选择。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9</w:t>
            </w:r>
          </w:p>
        </w:tc>
        <w:tc>
          <w:tcPr>
            <w:tcW w:w="1701"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比选申请人对比选文件提出质疑的时间</w:t>
            </w:r>
          </w:p>
        </w:tc>
        <w:tc>
          <w:tcPr>
            <w:tcW w:w="6005" w:type="dxa"/>
            <w:vAlign w:val="center"/>
          </w:tcPr>
          <w:p>
            <w:pPr>
              <w:spacing w:line="360" w:lineRule="auto"/>
              <w:rPr>
                <w:rFonts w:cs="MS Mincho" w:asciiTheme="minorEastAsia" w:hAnsiTheme="minorEastAsia" w:eastAsiaTheme="minorEastAsia"/>
                <w:sz w:val="24"/>
                <w:szCs w:val="24"/>
                <w:lang w:eastAsia="zh-CN"/>
              </w:rPr>
            </w:pPr>
            <w:r>
              <w:rPr>
                <w:rFonts w:hint="eastAsia" w:cs="MS Mincho" w:asciiTheme="minorEastAsia" w:hAnsiTheme="minorEastAsia" w:eastAsiaTheme="minorEastAsia"/>
                <w:sz w:val="24"/>
                <w:szCs w:val="24"/>
                <w:lang w:eastAsia="zh-CN"/>
              </w:rPr>
              <w:t>自比选文件</w:t>
            </w:r>
            <w:r>
              <w:rPr>
                <w:rFonts w:hint="eastAsia" w:cs="微软雅黑" w:asciiTheme="minorEastAsia" w:hAnsiTheme="minorEastAsia" w:eastAsiaTheme="minorEastAsia"/>
                <w:sz w:val="24"/>
                <w:szCs w:val="24"/>
                <w:lang w:eastAsia="zh-CN"/>
              </w:rPr>
              <w:t>发售时间起的三日内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10</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分包</w:t>
            </w:r>
          </w:p>
        </w:tc>
        <w:tc>
          <w:tcPr>
            <w:tcW w:w="6005" w:type="dxa"/>
            <w:vAlign w:val="center"/>
          </w:tcPr>
          <w:p>
            <w:pPr>
              <w:spacing w:line="360" w:lineRule="auto"/>
              <w:rPr>
                <w:rFonts w:asciiTheme="minorEastAsia" w:hAnsiTheme="minorEastAsia" w:eastAsiaTheme="minorEastAsia"/>
                <w:sz w:val="24"/>
                <w:szCs w:val="24"/>
                <w:lang w:eastAsia="zh-CN"/>
              </w:rPr>
            </w:pPr>
            <w:r>
              <w:rPr>
                <w:rFonts w:ascii="Segoe UI Symbol" w:hAnsi="Segoe UI Symbol" w:cs="Segoe UI Symbol" w:eastAsiaTheme="minorEastAsia"/>
                <w:sz w:val="24"/>
                <w:szCs w:val="24"/>
                <w:lang w:eastAsia="zh-CN"/>
              </w:rPr>
              <w:t>☑</w:t>
            </w:r>
            <w:r>
              <w:rPr>
                <w:rFonts w:hint="eastAsia" w:cs="MS Mincho" w:asciiTheme="minorEastAsia" w:hAnsiTheme="minorEastAsia" w:eastAsiaTheme="minorEastAsia"/>
                <w:sz w:val="24"/>
                <w:szCs w:val="24"/>
                <w:lang w:eastAsia="zh-CN"/>
              </w:rPr>
              <w:t>不允许</w:t>
            </w:r>
          </w:p>
          <w:p>
            <w:pPr>
              <w:spacing w:line="360" w:lineRule="auto"/>
              <w:rPr>
                <w:rFonts w:asciiTheme="minorEastAsia" w:hAnsiTheme="minorEastAsia" w:eastAsiaTheme="minorEastAsia"/>
                <w:sz w:val="24"/>
                <w:szCs w:val="24"/>
                <w:lang w:eastAsia="zh-CN"/>
              </w:rPr>
            </w:pPr>
            <w:r>
              <w:rPr>
                <w:rFonts w:hint="eastAsia" w:cs="MS Mincho" w:asciiTheme="minorEastAsia" w:hAnsiTheme="minorEastAsia" w:eastAsiaTheme="minorEastAsia"/>
                <w:sz w:val="24"/>
                <w:szCs w:val="24"/>
                <w:lang w:eastAsia="zh-CN"/>
              </w:rPr>
              <w:t>□允许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1</w:t>
            </w:r>
          </w:p>
        </w:tc>
        <w:tc>
          <w:tcPr>
            <w:tcW w:w="1701"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最高限价</w:t>
            </w:r>
          </w:p>
        </w:tc>
        <w:tc>
          <w:tcPr>
            <w:tcW w:w="6005" w:type="dxa"/>
            <w:vAlign w:val="center"/>
          </w:tcPr>
          <w:p>
            <w:pPr>
              <w:spacing w:line="360" w:lineRule="auto"/>
              <w:rPr>
                <w:rFonts w:ascii="Segoe UI Symbol" w:hAnsi="Segoe UI Symbol" w:cs="Segoe UI Symbol" w:eastAsiaTheme="minorEastAsia"/>
                <w:sz w:val="24"/>
                <w:szCs w:val="24"/>
                <w:lang w:eastAsia="zh-CN"/>
              </w:rPr>
            </w:pPr>
            <w:r>
              <w:rPr>
                <w:rFonts w:hint="eastAsia" w:asciiTheme="minorEastAsia" w:hAnsiTheme="minorEastAsia" w:eastAsiaTheme="minorEastAsia"/>
                <w:color w:val="000000"/>
                <w:sz w:val="24"/>
                <w:szCs w:val="24"/>
                <w:lang w:eastAsia="zh-CN"/>
              </w:rPr>
              <w:t>集合计划受托管理费费率不超过（含）0</w:t>
            </w:r>
            <w:r>
              <w:rPr>
                <w:rFonts w:asciiTheme="minorEastAsia" w:hAnsiTheme="minorEastAsia" w:eastAsiaTheme="minorEastAsia"/>
                <w:color w:val="000000"/>
                <w:sz w:val="24"/>
                <w:szCs w:val="24"/>
                <w:lang w:eastAsia="zh-CN"/>
              </w:rPr>
              <w:t>.15</w:t>
            </w:r>
            <w:r>
              <w:rPr>
                <w:rFonts w:hint="eastAsia" w:asciiTheme="minorEastAsia" w:hAnsiTheme="minorEastAsia" w:eastAsiaTheme="minorEastAsia"/>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asciiTheme="minorEastAsia" w:hAnsiTheme="minorEastAsia" w:eastAsiaTheme="minorEastAsia"/>
                <w:sz w:val="24"/>
                <w:szCs w:val="24"/>
                <w:lang w:eastAsia="zh-CN"/>
              </w:rPr>
              <w:t>1</w:t>
            </w:r>
          </w:p>
        </w:tc>
        <w:tc>
          <w:tcPr>
            <w:tcW w:w="1701"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构成比选文件的其他文件</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比选文件的澄清、修改书及有关补充通知为比选文件的有效组成部分。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asciiTheme="minorEastAsia" w:hAnsiTheme="minorEastAsia" w:eastAsiaTheme="minorEastAsia"/>
                <w:sz w:val="24"/>
                <w:szCs w:val="24"/>
                <w:lang w:eastAsia="zh-CN"/>
              </w:rPr>
              <w:t>2</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比选</w:t>
            </w:r>
            <w:r>
              <w:rPr>
                <w:rFonts w:hint="eastAsia" w:asciiTheme="minorEastAsia" w:hAnsiTheme="minorEastAsia" w:eastAsiaTheme="minorEastAsia"/>
                <w:sz w:val="24"/>
                <w:szCs w:val="24"/>
              </w:rPr>
              <w:t>有效期</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比选截止时间后 60个日历天内。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asciiTheme="minorEastAsia" w:hAnsiTheme="minorEastAsia" w:eastAsiaTheme="minorEastAsia"/>
                <w:sz w:val="24"/>
                <w:szCs w:val="24"/>
                <w:lang w:eastAsia="zh-CN"/>
              </w:rPr>
              <w:t>3</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签字盖章</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比选申请人必须按照比选文件的规定和要求签字、盖章(法人代表的签字可用具有法定效力的签字章)。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asciiTheme="minorEastAsia" w:hAnsiTheme="minorEastAsia" w:eastAsiaTheme="minorEastAsia"/>
                <w:sz w:val="24"/>
                <w:szCs w:val="24"/>
                <w:lang w:eastAsia="zh-CN"/>
              </w:rPr>
              <w:t>4</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比选申请</w:t>
            </w:r>
            <w:r>
              <w:rPr>
                <w:rFonts w:hint="eastAsia" w:asciiTheme="minorEastAsia" w:hAnsiTheme="minorEastAsia" w:eastAsiaTheme="minorEastAsia"/>
                <w:sz w:val="24"/>
                <w:szCs w:val="24"/>
              </w:rPr>
              <w:t>文件份数</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正本 1 份；副本 2 份；电子文档 1 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asciiTheme="minorEastAsia" w:hAnsiTheme="minorEastAsia" w:eastAsiaTheme="minorEastAsia"/>
                <w:sz w:val="24"/>
                <w:szCs w:val="24"/>
                <w:lang w:eastAsia="zh-CN"/>
              </w:rPr>
              <w:t>5</w:t>
            </w:r>
          </w:p>
        </w:tc>
        <w:tc>
          <w:tcPr>
            <w:tcW w:w="1701"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比选申请文件封面的标注</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比选申请文件正本和副本的封面上均应标明：比选项目名称、标段号(如涉及则标明)、比选申请人名称、年月日；并分别在右上角标明“正本”和“副本”字样。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6</w:t>
            </w:r>
          </w:p>
        </w:tc>
        <w:tc>
          <w:tcPr>
            <w:tcW w:w="1701"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比选申请文件外层密封袋的标注</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比选项目名称、标段号(如涉及则标明)、比选申请人名称、年月日。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17</w:t>
            </w:r>
          </w:p>
        </w:tc>
        <w:tc>
          <w:tcPr>
            <w:tcW w:w="1701" w:type="dxa"/>
            <w:vAlign w:val="center"/>
          </w:tcPr>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是否授权评审委员会直接确定中选人</w:t>
            </w:r>
          </w:p>
        </w:tc>
        <w:tc>
          <w:tcPr>
            <w:tcW w:w="6005" w:type="dxa"/>
            <w:vAlign w:val="center"/>
          </w:tcPr>
          <w:p>
            <w:pPr>
              <w:spacing w:line="360" w:lineRule="auto"/>
              <w:rPr>
                <w:rFonts w:asciiTheme="minorEastAsia" w:hAnsiTheme="minorEastAsia" w:eastAsiaTheme="minorEastAsia"/>
                <w:sz w:val="24"/>
                <w:szCs w:val="24"/>
                <w:lang w:eastAsia="zh-CN"/>
              </w:rPr>
            </w:pPr>
            <w:r>
              <w:rPr>
                <w:rFonts w:ascii="Segoe UI Symbol" w:hAnsi="Segoe UI Symbol" w:cs="Segoe UI Symbol" w:eastAsiaTheme="minorEastAsia"/>
                <w:sz w:val="24"/>
                <w:szCs w:val="24"/>
                <w:lang w:eastAsia="zh-CN"/>
              </w:rPr>
              <w:t>☑</w:t>
            </w:r>
            <w:r>
              <w:rPr>
                <w:rFonts w:hint="eastAsia" w:asciiTheme="minorEastAsia" w:hAnsiTheme="minorEastAsia" w:eastAsiaTheme="minorEastAsia"/>
                <w:sz w:val="24"/>
                <w:szCs w:val="24"/>
                <w:lang w:eastAsia="zh-CN"/>
              </w:rPr>
              <w:t>是。</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□否</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推荐成交候选人的数量：</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18</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比选</w:t>
            </w:r>
            <w:r>
              <w:rPr>
                <w:rFonts w:hint="eastAsia" w:asciiTheme="minorEastAsia" w:hAnsiTheme="minorEastAsia" w:eastAsiaTheme="minorEastAsia"/>
                <w:sz w:val="24"/>
                <w:szCs w:val="24"/>
              </w:rPr>
              <w:t>保证金</w:t>
            </w:r>
          </w:p>
        </w:tc>
        <w:tc>
          <w:tcPr>
            <w:tcW w:w="6005" w:type="dxa"/>
            <w:vAlign w:val="center"/>
          </w:tcPr>
          <w:p>
            <w:pPr>
              <w:spacing w:line="40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比选保证金的金额：</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6" w:type="dxa"/>
            <w:vAlign w:val="center"/>
          </w:tcPr>
          <w:p>
            <w:pPr>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w:t>
            </w:r>
          </w:p>
        </w:tc>
        <w:tc>
          <w:tcPr>
            <w:tcW w:w="170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Cs/>
                <w:sz w:val="24"/>
                <w:szCs w:val="24"/>
                <w:lang w:eastAsia="zh-CN"/>
              </w:rPr>
              <w:t>履约保证金（人民币）</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bCs/>
                <w:sz w:val="24"/>
                <w:szCs w:val="24"/>
                <w:lang w:eastAsia="zh-CN"/>
              </w:rPr>
              <w:t>元。以现金形式通过中选人的基本账户以银行转账方式汇入比选人指定账户</w:t>
            </w:r>
          </w:p>
        </w:tc>
      </w:tr>
    </w:tbl>
    <w:p>
      <w:pPr>
        <w:rPr>
          <w:rFonts w:asciiTheme="minorEastAsia" w:hAnsiTheme="minorEastAsia" w:eastAsiaTheme="minorEastAsia"/>
          <w:sz w:val="24"/>
          <w:szCs w:val="24"/>
          <w:lang w:eastAsia="zh-CN"/>
        </w:rPr>
      </w:pPr>
    </w:p>
    <w:p>
      <w:pP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before="312" w:beforeLines="100" w:after="312" w:afterLines="1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一、总</w:t>
      </w:r>
      <w:r>
        <w:rPr>
          <w:rFonts w:asciiTheme="minorEastAsia" w:hAnsiTheme="minorEastAsia" w:eastAsiaTheme="minorEastAsia"/>
          <w:sz w:val="24"/>
          <w:szCs w:val="24"/>
          <w:lang w:eastAsia="zh-CN"/>
        </w:rPr>
        <w:t xml:space="preserve">  则</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1．适用范围</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 本次</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文件仅适用于本次叙述</w:t>
      </w:r>
      <w:r>
        <w:rPr>
          <w:rFonts w:hint="eastAsia" w:asciiTheme="minorEastAsia" w:hAnsiTheme="minorEastAsia" w:eastAsiaTheme="minorEastAsia"/>
          <w:sz w:val="24"/>
          <w:szCs w:val="24"/>
          <w:lang w:eastAsia="zh-CN"/>
        </w:rPr>
        <w:t>的项目</w:t>
      </w:r>
      <w:r>
        <w:rPr>
          <w:rFonts w:asciiTheme="minorEastAsia" w:hAnsiTheme="minorEastAsia"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2．有关定义</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 本次</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的</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 xml:space="preserve">人是 四川能投建工集团有限公司 。 </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”系指 “</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单位”和“</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承办单位”的统称。</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人”系指购买了</w:t>
      </w:r>
      <w:r>
        <w:rPr>
          <w:rFonts w:hint="eastAsia" w:asciiTheme="minorEastAsia" w:hAnsiTheme="minorEastAsia" w:eastAsiaTheme="minorEastAsia"/>
          <w:sz w:val="24"/>
          <w:szCs w:val="24"/>
          <w:lang w:eastAsia="zh-CN"/>
        </w:rPr>
        <w:t>比选文件</w:t>
      </w:r>
      <w:r>
        <w:rPr>
          <w:rFonts w:asciiTheme="minorEastAsia" w:hAnsiTheme="minorEastAsia" w:eastAsiaTheme="minorEastAsia"/>
          <w:sz w:val="24"/>
          <w:szCs w:val="24"/>
          <w:lang w:eastAsia="zh-CN"/>
        </w:rPr>
        <w:t>拟参加</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和向</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人提供相应服务的法人企业或其它组织。</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3．合格的</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人</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w:t>
      </w:r>
      <w:r>
        <w:rPr>
          <w:rFonts w:hint="eastAsia" w:asciiTheme="minorEastAsia" w:hAnsiTheme="minorEastAsia" w:eastAsiaTheme="minorEastAsia"/>
          <w:sz w:val="24"/>
          <w:szCs w:val="24"/>
          <w:lang w:eastAsia="zh-CN"/>
        </w:rPr>
        <w:t>比选申请人</w:t>
      </w:r>
      <w:r>
        <w:rPr>
          <w:rFonts w:asciiTheme="minorEastAsia" w:hAnsiTheme="minorEastAsia" w:eastAsiaTheme="minorEastAsia"/>
          <w:sz w:val="24"/>
          <w:szCs w:val="24"/>
          <w:lang w:eastAsia="zh-CN"/>
        </w:rPr>
        <w:t>应遵守有关的国家法律、法规和条例，具备本文件中规定的条件。</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具有独立承担民事责任的能力；</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（2）近三年财务状况良好，无亏损记录；</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（3）近三年无重大违法违规行为</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（4）法律、行政法规规定的其他条件；</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（5）具有本比选文件对比选申请人所规定的资质条件。</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人必须是已在中国境内依法登记注册的</w:t>
      </w:r>
      <w:r>
        <w:rPr>
          <w:rFonts w:hint="eastAsia" w:asciiTheme="minorEastAsia" w:hAnsiTheme="minorEastAsia" w:eastAsiaTheme="minorEastAsia"/>
          <w:sz w:val="24"/>
          <w:szCs w:val="24"/>
          <w:lang w:eastAsia="zh-CN"/>
        </w:rPr>
        <w:t>独立法</w:t>
      </w:r>
      <w:r>
        <w:rPr>
          <w:rFonts w:asciiTheme="minorEastAsia" w:hAnsiTheme="minorEastAsia" w:eastAsiaTheme="minorEastAsia"/>
          <w:sz w:val="24"/>
          <w:szCs w:val="24"/>
          <w:lang w:eastAsia="zh-CN"/>
        </w:rPr>
        <w:t>人，并且其所持有的由工商行政管理部门所核发的有效的营业执照上载明的营业期限剩余时间应当不少于本次</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的相关合同基本义务履行所需期限，或已经提供相关证明材料能够证明具有履约能力。否则，</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人及</w:t>
      </w:r>
      <w:r>
        <w:rPr>
          <w:rFonts w:hint="eastAsia" w:asciiTheme="minorEastAsia" w:hAnsiTheme="minorEastAsia" w:eastAsiaTheme="minorEastAsia"/>
          <w:sz w:val="24"/>
          <w:szCs w:val="24"/>
          <w:lang w:eastAsia="zh-CN"/>
        </w:rPr>
        <w:t>评审委员会</w:t>
      </w:r>
      <w:r>
        <w:rPr>
          <w:rFonts w:asciiTheme="minorEastAsia" w:hAnsiTheme="minorEastAsia" w:eastAsiaTheme="minorEastAsia"/>
          <w:sz w:val="24"/>
          <w:szCs w:val="24"/>
          <w:lang w:eastAsia="zh-CN"/>
        </w:rPr>
        <w:t>有权拒绝其本次报价。</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依法注册的比选申请人起注册资金以保证本项目实施过程中的风险承担和赔付能力。</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费用</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人参加</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的有关一切费用由</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人自行承担。</w:t>
      </w:r>
    </w:p>
    <w:p>
      <w:pPr>
        <w:spacing w:before="312" w:beforeLines="100" w:after="312" w:afterLines="10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br w:type="page"/>
      </w:r>
    </w:p>
    <w:p>
      <w:pPr>
        <w:spacing w:before="312" w:beforeLines="100" w:after="312" w:afterLines="1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二、比选文件</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文件的构成</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5.1比选文件用以阐明比选项目所需的资质、技术、服务、设备及报价等要求、比选程序、有关规定和注意事项以及合同主要条款等。本比选文件包括以下内容：</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1）比选公告；</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须知及前附表；</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比选申请文件</w:t>
      </w:r>
      <w:r>
        <w:rPr>
          <w:rFonts w:asciiTheme="minorEastAsia" w:hAnsiTheme="minorEastAsia"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评选办法</w:t>
      </w:r>
      <w:r>
        <w:rPr>
          <w:rFonts w:asciiTheme="minorEastAsia" w:hAnsiTheme="minorEastAsia"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）比选申请文件格式</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5.2 比选申请人应认真阅读和充分理解比选文件中所有的事项、格式条款和规范要求。比选申请人没有按照比选文件要求作出实质性的</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文件将被拒绝。</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6.比选文件的澄清和修改</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 在</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截止时间前，</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人无论出于何种原因，可以对比选文件进行澄清或者修改。</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 答疑会</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7.1 根据项目具体情况，不召开答疑会。</w:t>
      </w:r>
    </w:p>
    <w:p>
      <w:pPr>
        <w:spacing w:before="312" w:beforeLines="100" w:after="312" w:afterLines="1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三、比选申请文件</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8．</w:t>
      </w:r>
      <w:r>
        <w:rPr>
          <w:rFonts w:hint="eastAsia" w:asciiTheme="minorEastAsia" w:hAnsiTheme="minorEastAsia" w:eastAsiaTheme="minorEastAsia"/>
          <w:b/>
          <w:sz w:val="24"/>
          <w:szCs w:val="24"/>
          <w:lang w:eastAsia="zh-CN"/>
        </w:rPr>
        <w:t xml:space="preserve"> 比选申请</w:t>
      </w:r>
      <w:r>
        <w:rPr>
          <w:rFonts w:asciiTheme="minorEastAsia" w:hAnsiTheme="minorEastAsia" w:eastAsiaTheme="minorEastAsia"/>
          <w:b/>
          <w:sz w:val="24"/>
          <w:szCs w:val="24"/>
          <w:lang w:eastAsia="zh-CN"/>
        </w:rPr>
        <w:t>文件的语言</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8.1 比选申请人提交的比选申请文件以及比选申请人与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人就有关</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所有来往书面文件均须使用中文。比选申请文件中如附有外文资料，必须逐一对应翻译成中文并加盖比选申请人公章后附在相关外文资料后面。</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9．计量单位</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9.1除技术规格及要求中另有规定外，本</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项目的</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均采用国家法定的计量单位。</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 xml:space="preserve">10. </w:t>
      </w:r>
      <w:r>
        <w:rPr>
          <w:rFonts w:hint="eastAsia" w:asciiTheme="minorEastAsia" w:hAnsiTheme="minorEastAsia" w:eastAsiaTheme="minorEastAsia"/>
          <w:b/>
          <w:sz w:val="24"/>
          <w:szCs w:val="24"/>
          <w:lang w:eastAsia="zh-CN"/>
        </w:rPr>
        <w:t>比选</w:t>
      </w:r>
      <w:r>
        <w:rPr>
          <w:rFonts w:asciiTheme="minorEastAsia" w:hAnsiTheme="minorEastAsia" w:eastAsiaTheme="minorEastAsia"/>
          <w:b/>
          <w:sz w:val="24"/>
          <w:szCs w:val="24"/>
          <w:lang w:eastAsia="zh-CN"/>
        </w:rPr>
        <w:t>货币</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10.1本次比选项目的比选均以人民币报价。</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11．联合</w:t>
      </w:r>
      <w:r>
        <w:rPr>
          <w:rFonts w:hint="eastAsia" w:asciiTheme="minorEastAsia" w:hAnsiTheme="minorEastAsia" w:eastAsiaTheme="minorEastAsia"/>
          <w:b/>
          <w:sz w:val="24"/>
          <w:szCs w:val="24"/>
          <w:lang w:eastAsia="zh-CN"/>
        </w:rPr>
        <w:t>比选</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11.1不允许联合体参与</w:t>
      </w:r>
      <w:r>
        <w:rPr>
          <w:rFonts w:hint="eastAsia" w:asciiTheme="minorEastAsia" w:hAnsiTheme="minorEastAsia" w:eastAsiaTheme="minorEastAsia"/>
          <w:sz w:val="24"/>
          <w:szCs w:val="24"/>
          <w:lang w:eastAsia="zh-CN"/>
        </w:rPr>
        <w:t>比选。</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12．知识产权</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12.1 比选申请人应保证在本项目使用的任何产品和服务(包括部分使用)时，不会产生因第三方提出侵犯其专利权、商标权或其它知识产权而引起的法律和经济纠纷，如因专利权、商标权或其它知识产权而引起法律和经济纠纷，由比选申请人承担所有相关责任。</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13．比选申请文件的组成</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13.1比选申请人应按照比选文件的规定和要求编制比选申请文件。比选申请人拟在</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后将</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项目的非主体、非关键性工作交由他人完成的，应当在比选申请文件中载明。比选申请人编写的比选申请文件应包括下列部分：</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比选申请函；</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法定代表人身份证明书；</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法定代表人授权书；</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报价一览表；</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比选申请人基本情况表；</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拟派主要人员情况表</w:t>
      </w:r>
      <w:r>
        <w:rPr>
          <w:rFonts w:asciiTheme="minorEastAsia" w:hAnsiTheme="minorEastAsia" w:eastAsiaTheme="minorEastAsia"/>
          <w:sz w:val="24"/>
          <w:szCs w:val="24"/>
          <w:lang w:eastAsia="zh-CN"/>
        </w:rPr>
        <w:t xml:space="preserve"> ；</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项目实施计划；</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其他内容</w:t>
      </w:r>
      <w:r>
        <w:rPr>
          <w:rFonts w:asciiTheme="minorEastAsia" w:hAnsiTheme="minorEastAsia" w:eastAsiaTheme="minorEastAsia"/>
          <w:sz w:val="24"/>
          <w:szCs w:val="24"/>
          <w:lang w:eastAsia="zh-CN"/>
        </w:rPr>
        <w:t>。</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14．比选申请文件格式</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14.1比选申请人应严格按照比选文件第六章中提供的“比选申请文件格式”填写相关内容。除明确允许比选申请人可以自行编写的外，比选申请人不得以“比选申请文件格式”规定之外的方式填写相关内容。若《比选申请函》、《法定代表人授权书》</w:t>
      </w:r>
      <w:r>
        <w:rPr>
          <w:rFonts w:hint="eastAsia" w:asciiTheme="minorEastAsia" w:hAnsiTheme="minorEastAsia" w:eastAsiaTheme="minorEastAsia"/>
          <w:sz w:val="24"/>
          <w:szCs w:val="24"/>
          <w:lang w:eastAsia="zh-CN"/>
        </w:rPr>
        <w:t>、《报价一览表》</w:t>
      </w:r>
      <w:r>
        <w:rPr>
          <w:rFonts w:asciiTheme="minorEastAsia" w:hAnsiTheme="minorEastAsia" w:eastAsiaTheme="minorEastAsia"/>
          <w:sz w:val="24"/>
          <w:szCs w:val="24"/>
          <w:lang w:eastAsia="zh-CN"/>
        </w:rPr>
        <w:t>未签字和加盖比选申请人公章(鲜章)的，视为无效</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15．</w:t>
      </w:r>
      <w:r>
        <w:rPr>
          <w:rFonts w:hint="eastAsia" w:asciiTheme="minorEastAsia" w:hAnsiTheme="minorEastAsia" w:eastAsiaTheme="minorEastAsia"/>
          <w:b/>
          <w:sz w:val="24"/>
          <w:szCs w:val="24"/>
          <w:lang w:eastAsia="zh-CN"/>
        </w:rPr>
        <w:t>比选</w:t>
      </w:r>
      <w:r>
        <w:rPr>
          <w:rFonts w:asciiTheme="minorEastAsia" w:hAnsiTheme="minorEastAsia" w:eastAsiaTheme="minorEastAsia"/>
          <w:b/>
          <w:sz w:val="24"/>
          <w:szCs w:val="24"/>
          <w:lang w:eastAsia="zh-CN"/>
        </w:rPr>
        <w:t>有效期</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15.1 </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有效期见比选须知前附表。</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有效期短于此规定期限的</w:t>
      </w:r>
      <w:r>
        <w:rPr>
          <w:rFonts w:hint="eastAsia" w:asciiTheme="minorEastAsia" w:hAnsiTheme="minorEastAsia" w:eastAsiaTheme="minorEastAsia"/>
          <w:sz w:val="24"/>
          <w:szCs w:val="24"/>
          <w:lang w:eastAsia="zh-CN"/>
        </w:rPr>
        <w:t>比选申请</w:t>
      </w:r>
      <w:r>
        <w:rPr>
          <w:rFonts w:asciiTheme="minorEastAsia" w:hAnsiTheme="minorEastAsia" w:eastAsiaTheme="minorEastAsia"/>
          <w:sz w:val="24"/>
          <w:szCs w:val="24"/>
          <w:lang w:eastAsia="zh-CN"/>
        </w:rPr>
        <w:t>，将被拒绝。</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15.2 特殊情况下，</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可于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有效期满之前要求比选申请人同意延长有效期，要求与答复均应为书面形式。</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16．比选申请文件的印制和签署</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16.1 比选申请人应按“比选须知前附表”准备比选申请文件正本、副本、电子文档。比选申请文件的正本和副本应在其封面右上角清楚地标明“正本”或“副本”字样。若正本和副本有不一致的内容，以正本书面比选申请文件为准。</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16.2 比选申请文件的正本和副本均需打印或用不褪色、不变质的墨水书写，并由比选申请人的法定代表人或其授权代表在规定签章处签字和盖鲜章。</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16.3 比选申请文件的打印和书写应清楚工整，任何行间插字、涂改或增删，必须由比选申请人的法定代表人或其授权代表签字或盖个人印鉴。字迹潦草、表达不清或可能导致非唯一理解的比选申请文件可能视为无效比选。</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16.4 比选申请文件应根据比选文件的要求制作，签署、盖章和内容应完整。</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16.5 比选申请文件统一用A4幅面纸印制。</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17. 比选申请文件的密封和标注</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17.1 比选申请人应在比选申请文件正本和所有副本的封面上注明比选申请人名称、项目名称。</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17.2比选申请文件正本、所有副本、电子文档应分别封装于不同的密封袋内，密封袋上应分别标上“正本”、“副本”、 “电子文档”字样。</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17.3 所有外层密封袋的封口处应粘贴牢固，密封袋上注明比选申请人名称、项目名称、及比选日期，并加盖密封章(比选申请人公章)。</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17.4 未按以上要求进行密封和标注的比选申请文件将被拒绝。</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18. 比选申请文件的递交</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18.1 比选申请人应在比选文件规定的时间和地点递交比选申请文件；</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18.2 本次比选不接受邮寄的比选申请文件。</w:t>
      </w:r>
    </w:p>
    <w:p>
      <w:pPr>
        <w:spacing w:before="312" w:beforeLines="100" w:after="312" w:afterLines="1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四、比选办法</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19.比选流程</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19.1比选按比选文件规定的时间和地点进行。比选申请人须有法人或法人授权代表参加并签到，并对所递交的比选申请文件进行密封性检查和签字确认。</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19.2比选小组对比选申请人提交的比选申请文件进行符合性评审、资格审查及比选申请性评审。</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19.3</w:t>
      </w:r>
      <w:r>
        <w:rPr>
          <w:rFonts w:hint="eastAsia" w:asciiTheme="minorEastAsia" w:hAnsiTheme="minorEastAsia" w:eastAsiaTheme="minorEastAsia"/>
          <w:sz w:val="24"/>
          <w:szCs w:val="24"/>
          <w:lang w:eastAsia="zh-CN"/>
        </w:rPr>
        <w:t>评审委员会按照比选申请人中综合得分最高的原则推荐中选候选人。</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19.4</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人按照</w:t>
      </w:r>
      <w:r>
        <w:rPr>
          <w:rFonts w:hint="eastAsia" w:asciiTheme="minorEastAsia" w:hAnsiTheme="minorEastAsia" w:eastAsiaTheme="minorEastAsia"/>
          <w:sz w:val="24"/>
          <w:szCs w:val="24"/>
          <w:lang w:eastAsia="zh-CN"/>
        </w:rPr>
        <w:t>评审委员会</w:t>
      </w:r>
      <w:r>
        <w:rPr>
          <w:rFonts w:asciiTheme="minorEastAsia" w:hAnsiTheme="minorEastAsia" w:eastAsiaTheme="minorEastAsia"/>
          <w:sz w:val="24"/>
          <w:szCs w:val="24"/>
          <w:lang w:eastAsia="zh-CN"/>
        </w:rPr>
        <w:t>推荐</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候选人的顺序确定</w:t>
      </w:r>
      <w:r>
        <w:rPr>
          <w:rFonts w:hint="eastAsia" w:asciiTheme="minorEastAsia" w:hAnsiTheme="minorEastAsia" w:eastAsiaTheme="minorEastAsia"/>
          <w:sz w:val="24"/>
          <w:szCs w:val="24"/>
          <w:lang w:eastAsia="zh-CN"/>
        </w:rPr>
        <w:t>中选人</w:t>
      </w:r>
      <w:r>
        <w:rPr>
          <w:rFonts w:asciiTheme="minorEastAsia" w:hAnsiTheme="minorEastAsia" w:eastAsiaTheme="minorEastAsia"/>
          <w:sz w:val="24"/>
          <w:szCs w:val="24"/>
          <w:lang w:eastAsia="zh-CN"/>
        </w:rPr>
        <w:t>。</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20.比选</w:t>
      </w:r>
      <w:r>
        <w:rPr>
          <w:rFonts w:hint="eastAsia" w:asciiTheme="minorEastAsia" w:hAnsiTheme="minorEastAsia" w:eastAsiaTheme="minorEastAsia"/>
          <w:b/>
          <w:sz w:val="24"/>
          <w:szCs w:val="24"/>
          <w:lang w:eastAsia="zh-CN"/>
        </w:rPr>
        <w:t>申请文件的修改</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0.1 </w:t>
      </w:r>
      <w:r>
        <w:rPr>
          <w:rFonts w:hint="eastAsia" w:asciiTheme="minorEastAsia" w:hAnsiTheme="minorEastAsia" w:eastAsiaTheme="minorEastAsia"/>
          <w:sz w:val="24"/>
          <w:szCs w:val="24"/>
          <w:lang w:eastAsia="zh-CN"/>
        </w:rPr>
        <w:t>比选申请人在比选过程中所签署的书面的澄清或者说明、经比选申请人确认的修正后报价均为比选申请文件的组成部分。</w:t>
      </w:r>
    </w:p>
    <w:p>
      <w:pPr>
        <w:spacing w:before="312" w:beforeLines="100" w:after="312" w:afterLines="1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五、定标</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21. 定标原则</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21.1根据比选小组推荐的</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候选人名单，按顺序确定</w:t>
      </w:r>
      <w:r>
        <w:rPr>
          <w:rFonts w:hint="eastAsia" w:asciiTheme="minorEastAsia" w:hAnsiTheme="minorEastAsia" w:eastAsiaTheme="minorEastAsia"/>
          <w:sz w:val="24"/>
          <w:szCs w:val="24"/>
          <w:lang w:eastAsia="zh-CN"/>
        </w:rPr>
        <w:t>中标人</w:t>
      </w:r>
      <w:r>
        <w:rPr>
          <w:rFonts w:asciiTheme="minorEastAsia" w:hAnsiTheme="minorEastAsia" w:eastAsiaTheme="minorEastAsia"/>
          <w:sz w:val="24"/>
          <w:szCs w:val="24"/>
          <w:lang w:eastAsia="zh-CN"/>
        </w:rPr>
        <w:t>。</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22. 定标程序</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 </w:t>
      </w:r>
      <w:r>
        <w:rPr>
          <w:rFonts w:hint="eastAsia" w:asciiTheme="minorEastAsia" w:hAnsiTheme="minorEastAsia" w:eastAsiaTheme="minorEastAsia"/>
          <w:sz w:val="24"/>
          <w:szCs w:val="24"/>
          <w:lang w:eastAsia="zh-CN"/>
        </w:rPr>
        <w:t>评审委员会</w:t>
      </w:r>
      <w:r>
        <w:rPr>
          <w:rFonts w:asciiTheme="minorEastAsia" w:hAnsiTheme="minorEastAsia" w:eastAsiaTheme="minorEastAsia"/>
          <w:sz w:val="24"/>
          <w:szCs w:val="24"/>
          <w:lang w:eastAsia="zh-CN"/>
        </w:rPr>
        <w:t>将比选情况写出书面报告，推荐</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候选人，并标明排列顺序。</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 </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人在收到比选报告后五个工作日内，按照比选报告中推荐的</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候选人顺序确定</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22.3</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人将</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结果通知参加比选的所有</w:t>
      </w:r>
      <w:r>
        <w:rPr>
          <w:rFonts w:hint="eastAsia" w:asciiTheme="minorEastAsia" w:hAnsiTheme="minorEastAsia" w:eastAsiaTheme="minorEastAsia"/>
          <w:sz w:val="24"/>
          <w:szCs w:val="24"/>
          <w:lang w:eastAsia="zh-CN"/>
        </w:rPr>
        <w:t>比选申请人</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人不解释</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或落选原因，不退回比选申请文件和其他比选</w:t>
      </w:r>
      <w:r>
        <w:rPr>
          <w:rFonts w:hint="eastAsia" w:asciiTheme="minorEastAsia" w:hAnsiTheme="minorEastAsia" w:eastAsiaTheme="minorEastAsia"/>
          <w:sz w:val="24"/>
          <w:szCs w:val="24"/>
          <w:lang w:eastAsia="zh-CN"/>
        </w:rPr>
        <w:t>申请</w:t>
      </w:r>
      <w:r>
        <w:rPr>
          <w:rFonts w:asciiTheme="minorEastAsia" w:hAnsiTheme="minorEastAsia" w:eastAsiaTheme="minorEastAsia"/>
          <w:sz w:val="24"/>
          <w:szCs w:val="24"/>
          <w:lang w:eastAsia="zh-CN"/>
        </w:rPr>
        <w:t>资料。</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23．</w:t>
      </w:r>
      <w:r>
        <w:rPr>
          <w:rFonts w:hint="eastAsia" w:asciiTheme="minorEastAsia" w:hAnsiTheme="minorEastAsia" w:eastAsiaTheme="minorEastAsia"/>
          <w:b/>
          <w:sz w:val="24"/>
          <w:szCs w:val="24"/>
          <w:lang w:eastAsia="zh-CN"/>
        </w:rPr>
        <w:t>中选</w:t>
      </w:r>
      <w:r>
        <w:rPr>
          <w:rFonts w:asciiTheme="minorEastAsia" w:hAnsiTheme="minorEastAsia" w:eastAsiaTheme="minorEastAsia"/>
          <w:b/>
          <w:sz w:val="24"/>
          <w:szCs w:val="24"/>
          <w:lang w:eastAsia="zh-CN"/>
        </w:rPr>
        <w:t>通知书</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23.1 中选通知书为签订采购合同的依据，是合同的有效组成部分。</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23.2 中选通知书对</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人和中选人均具有法律效力。中选通知书发出后，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人改变中选结果，或者中选人无正当理由放弃中选的，应当承担相应的法律责任。</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23.3中选人的比选申请文件本应作为无效比选处理或者有法律法规规章制度规定的中选无效情形的，选择人在取得有权主体的认定以后，应当宣布发出的中选通知书无效，并收回发出的中选通知书(中选人也应当缴回)，依法重新确定中选人或者重新开展</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活动。</w:t>
      </w:r>
    </w:p>
    <w:p>
      <w:pPr>
        <w:spacing w:before="312" w:beforeLines="100" w:after="312" w:afterLines="1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六、签订及履行合同和验收</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24. 签订合同</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24.1 </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人在收到</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人发出的</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通知书后，应自</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通知书发出之日起10日内与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人签订</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合同。由于</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人的原因逾期未与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人签订合同的，将视为放弃</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，取消其</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资格并将按相关规定进行处理。</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24.2 </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人不得向</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人提出任何不合理的要求，作为签订合同的条件，不得与</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人私下订立背离合同实质性内容的任何协议，所签订的合同不得对比选文件和</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人比选</w:t>
      </w:r>
      <w:r>
        <w:rPr>
          <w:rFonts w:hint="eastAsia" w:asciiTheme="minorEastAsia" w:hAnsiTheme="minorEastAsia" w:eastAsiaTheme="minorEastAsia"/>
          <w:sz w:val="24"/>
          <w:szCs w:val="24"/>
          <w:lang w:eastAsia="zh-CN"/>
        </w:rPr>
        <w:t>申请</w:t>
      </w:r>
      <w:r>
        <w:rPr>
          <w:rFonts w:asciiTheme="minorEastAsia" w:hAnsiTheme="minorEastAsia" w:eastAsiaTheme="minorEastAsia"/>
          <w:sz w:val="24"/>
          <w:szCs w:val="24"/>
          <w:lang w:eastAsia="zh-CN"/>
        </w:rPr>
        <w:t>文件作实质性修改。</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 </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人因不可抗力原因不能履行</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合同或放弃</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的，</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人可以与排在</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人之后第一位的</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候选人签订</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合同，以此类推。</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25. 履行合同</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25.1 </w:t>
      </w:r>
      <w:r>
        <w:rPr>
          <w:rFonts w:hint="eastAsia" w:asciiTheme="minorEastAsia" w:hAnsiTheme="minorEastAsia" w:eastAsiaTheme="minorEastAsia"/>
          <w:sz w:val="24"/>
          <w:szCs w:val="24"/>
          <w:lang w:eastAsia="zh-CN"/>
        </w:rPr>
        <w:t>中选</w:t>
      </w:r>
      <w:r>
        <w:rPr>
          <w:rFonts w:asciiTheme="minorEastAsia" w:hAnsiTheme="minorEastAsia" w:eastAsiaTheme="minorEastAsia"/>
          <w:sz w:val="24"/>
          <w:szCs w:val="24"/>
          <w:lang w:eastAsia="zh-CN"/>
        </w:rPr>
        <w:t>人与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人签订合同后，合同双方应严格执行合同条款，履行合同规定的义务，保证合同的顺利完成。</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25.2 在合同履行过程中，如发生合同纠纷，合同双方应按照《合同法》的有关规定进行处理。</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26. 履约保证金</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26.1履约保证金金额：</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p>
    <w:p>
      <w:pPr>
        <w:spacing w:before="312" w:beforeLines="100" w:after="312" w:afterLines="1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七、废</w:t>
      </w:r>
      <w:r>
        <w:rPr>
          <w:rFonts w:asciiTheme="minorEastAsia" w:hAnsiTheme="minorEastAsia" w:eastAsiaTheme="minorEastAsia"/>
          <w:b/>
          <w:sz w:val="24"/>
          <w:szCs w:val="24"/>
          <w:lang w:eastAsia="zh-CN"/>
        </w:rPr>
        <w:t xml:space="preserve"> 标</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27. 废标的情形</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27.1比选中，出现下列情形之一的，予以废标：</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1）出现影响</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公正的违法、违规行为的；</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2）比选申请人的报价均超过了</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预算，</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人不能支付的；</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3）因重大变故，</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任务取消的；</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4）其他未实质性</w:t>
      </w:r>
      <w:r>
        <w:rPr>
          <w:rFonts w:hint="eastAsia" w:asciiTheme="minorEastAsia" w:hAnsiTheme="minorEastAsia" w:eastAsiaTheme="minorEastAsia"/>
          <w:sz w:val="24"/>
          <w:szCs w:val="24"/>
          <w:lang w:eastAsia="zh-CN"/>
        </w:rPr>
        <w:t>响应比选文件的。</w:t>
      </w:r>
    </w:p>
    <w:p>
      <w:pPr>
        <w:spacing w:before="312" w:beforeLines="100" w:after="312" w:afterLines="1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八、比选纪律要求</w:t>
      </w:r>
    </w:p>
    <w:p>
      <w:pPr>
        <w:adjustRightInd w:val="0"/>
        <w:snapToGrid w:val="0"/>
        <w:spacing w:line="360" w:lineRule="auto"/>
        <w:ind w:firstLine="482" w:firstLineChars="2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28. 比选申请人不得具有的情形</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28.1比选申请人参加比选不得有下列情形：</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1）提供虚假材料谋取成交</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2）采取不正当手段诋毁、排挤其他比选申请人</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3）与</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人、其他比选申请人恶意串通</w:t>
      </w:r>
      <w:r>
        <w:rPr>
          <w:rFonts w:hint="eastAsia" w:asciiTheme="minorEastAsia" w:hAnsiTheme="minorEastAsia"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4）向</w:t>
      </w:r>
      <w:r>
        <w:rPr>
          <w:rFonts w:hint="eastAsia" w:asciiTheme="minorEastAsia" w:hAnsiTheme="minorEastAsia" w:eastAsiaTheme="minorEastAsia"/>
          <w:sz w:val="24"/>
          <w:szCs w:val="24"/>
          <w:lang w:eastAsia="zh-CN"/>
        </w:rPr>
        <w:t>比选</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lang w:eastAsia="zh-CN"/>
        </w:rPr>
        <w:t>评审委员会</w:t>
      </w:r>
      <w:r>
        <w:rPr>
          <w:rFonts w:asciiTheme="minorEastAsia" w:hAnsiTheme="minorEastAsia" w:eastAsiaTheme="minorEastAsia"/>
          <w:sz w:val="24"/>
          <w:szCs w:val="24"/>
          <w:lang w:eastAsia="zh-CN"/>
        </w:rPr>
        <w:t>成员行贿或者提供其他不正当利益</w:t>
      </w:r>
      <w:r>
        <w:rPr>
          <w:rFonts w:hint="eastAsia" w:asciiTheme="minorEastAsia" w:hAnsiTheme="minorEastAsia"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5）拒绝有关部门的监督检查或者向监督检查部门提供虚假情况</w:t>
      </w:r>
      <w:r>
        <w:rPr>
          <w:rFonts w:hint="eastAsia" w:asciiTheme="minorEastAsia" w:hAnsiTheme="minorEastAsia" w:eastAsiaTheme="minorEastAsia"/>
          <w:sz w:val="24"/>
          <w:szCs w:val="24"/>
          <w:lang w:eastAsia="zh-CN"/>
        </w:rPr>
        <w:t>。</w:t>
      </w:r>
    </w:p>
    <w:p>
      <w:pPr>
        <w:adjustRightInd w:val="0"/>
        <w:snapToGrid w:val="0"/>
        <w:spacing w:line="360" w:lineRule="auto"/>
        <w:ind w:left="440" w:leftChars="200"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有上述情形之一的比选申请人，属于不合格比选申请人，其比选申请人资格或中选资格将被取消。</w:t>
      </w:r>
    </w:p>
    <w:p>
      <w:pPr>
        <w:adjustRightInd w:val="0"/>
        <w:snapToGrid w:val="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adjustRightInd w:val="0"/>
        <w:snapToGrid w:val="0"/>
        <w:spacing w:line="360" w:lineRule="auto"/>
        <w:jc w:val="center"/>
        <w:outlineLvl w:val="0"/>
        <w:rPr>
          <w:rFonts w:hint="eastAsia" w:ascii="黑体" w:hAnsi="黑体" w:eastAsia="黑体" w:cs="黑体"/>
          <w:sz w:val="32"/>
          <w:szCs w:val="32"/>
          <w:lang w:eastAsia="zh-CN"/>
        </w:rPr>
      </w:pPr>
      <w:bookmarkStart w:id="2" w:name="_Toc521510887"/>
      <w:r>
        <w:rPr>
          <w:rFonts w:hint="eastAsia" w:ascii="黑体" w:hAnsi="黑体" w:eastAsia="黑体" w:cs="黑体"/>
          <w:sz w:val="32"/>
          <w:szCs w:val="32"/>
          <w:lang w:eastAsia="zh-CN"/>
        </w:rPr>
        <w:t>第三章  评选办法</w:t>
      </w:r>
      <w:bookmarkEnd w:id="2"/>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一、为使本次比选工作体现公开、公平、公正的原则和平等竞争的原则，并择优选定报价合理、信誉好、综合实力强的中选人，依照国家、省和四川能源投资集团有限责任公司比选有关规定，特制定本评审办法。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二、比选小组依据比选文件中的标准、办法对比选申请文件进行评审，任何其他的外部证据均不得作为评审的依据。</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三、本次评审工作由比选人自行组织的比选小组负责。比选小组成员人数为</w:t>
      </w:r>
      <w:r>
        <w:rPr>
          <w:rFonts w:hint="eastAsia" w:asciiTheme="minorEastAsia" w:hAnsiTheme="minorEastAsia" w:eastAsiaTheme="minorEastAsia"/>
          <w:color w:val="FF0000"/>
          <w:sz w:val="24"/>
          <w:szCs w:val="24"/>
          <w:lang w:eastAsia="zh-CN"/>
        </w:rPr>
        <w:t>X</w:t>
      </w:r>
      <w:r>
        <w:rPr>
          <w:rFonts w:asciiTheme="minorEastAsia" w:hAnsiTheme="minorEastAsia" w:eastAsiaTheme="minorEastAsia"/>
          <w:sz w:val="24"/>
          <w:szCs w:val="24"/>
          <w:lang w:eastAsia="zh-CN"/>
        </w:rPr>
        <w:t>人。入围结果确定之前，比选小组成员的名单保密。比选小组成员应根据比选文件要求和本评审办法对比选申请人的比选申请文件逐一进行分析、比较和评审。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四、评审标准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比选小组对比选申请文件按照综合得分最高的原则进行评审。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综合得分最高的原则</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 符合性评审、资格审查及比选申请性评审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评审内容详见下表：</w:t>
      </w:r>
    </w:p>
    <w:tbl>
      <w:tblPr>
        <w:tblStyle w:val="2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759"/>
        <w:gridCol w:w="6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758"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5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评审项目</w:t>
            </w:r>
          </w:p>
        </w:tc>
        <w:tc>
          <w:tcPr>
            <w:tcW w:w="600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758"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5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咨询机构名称</w:t>
            </w:r>
          </w:p>
        </w:tc>
        <w:tc>
          <w:tcPr>
            <w:tcW w:w="6005" w:type="dxa"/>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atLeast"/>
        </w:trPr>
        <w:tc>
          <w:tcPr>
            <w:tcW w:w="758"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75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资格条件</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是否满足比选申请人资格要求。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758"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75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比选有效期</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比选有效期是否为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30</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758"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75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授权委托书</w:t>
            </w:r>
          </w:p>
        </w:tc>
        <w:tc>
          <w:tcPr>
            <w:tcW w:w="6005" w:type="dxa"/>
            <w:vAlign w:val="center"/>
          </w:tcPr>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法定代表人证明书/法人授权委托书</w:t>
            </w:r>
            <w:r>
              <w:rPr>
                <w:rFonts w:hint="eastAsia" w:asciiTheme="minorEastAsia" w:hAnsiTheme="minorEastAsia"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758"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75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签字、盖章</w:t>
            </w:r>
          </w:p>
        </w:tc>
        <w:tc>
          <w:tcPr>
            <w:tcW w:w="6005"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是否符合比选文件的签署盖章要求。</w:t>
            </w:r>
          </w:p>
        </w:tc>
      </w:tr>
    </w:tbl>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注：只有全部满足上述评审项目合格标准的申请文件才能通过符合性评审、资格审查及比选申请性评审。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2）综合评审</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比选小组对通过符合性评审、资格审查及比选申请性评审的比选申请人的比选申请文件进行综合评审，评审项目实行综合评分法，总分为100分。本次评标共分</w:t>
      </w:r>
      <w:r>
        <w:rPr>
          <w:rFonts w:hint="eastAsia" w:asciiTheme="minorEastAsia" w:hAnsiTheme="minorEastAsia" w:eastAsiaTheme="minorEastAsia"/>
          <w:sz w:val="24"/>
          <w:szCs w:val="24"/>
          <w:lang w:eastAsia="zh-CN"/>
        </w:rPr>
        <w:t>五</w:t>
      </w:r>
      <w:r>
        <w:rPr>
          <w:rFonts w:asciiTheme="minorEastAsia" w:hAnsiTheme="minorEastAsia" w:eastAsiaTheme="minorEastAsia"/>
          <w:sz w:val="24"/>
          <w:szCs w:val="24"/>
          <w:lang w:eastAsia="zh-CN"/>
        </w:rPr>
        <w:t>个方面对比选申请文件进行评价，其设置为：</w:t>
      </w:r>
    </w:p>
    <w:p>
      <w:pPr>
        <w:spacing w:line="360" w:lineRule="auto"/>
        <w:ind w:firstLine="480" w:firstLineChars="200"/>
        <w:rPr>
          <w:rFonts w:asciiTheme="minorEastAsia" w:hAnsiTheme="minorEastAsia" w:eastAsiaTheme="minorEastAsia"/>
          <w:sz w:val="24"/>
          <w:szCs w:val="24"/>
          <w:lang w:eastAsia="zh-CN"/>
        </w:rPr>
      </w:pPr>
    </w:p>
    <w:tbl>
      <w:tblPr>
        <w:tblStyle w:val="29"/>
        <w:tblW w:w="10126" w:type="dxa"/>
        <w:tblInd w:w="-716" w:type="dxa"/>
        <w:tblLayout w:type="fixed"/>
        <w:tblCellMar>
          <w:top w:w="0" w:type="dxa"/>
          <w:left w:w="108" w:type="dxa"/>
          <w:bottom w:w="0" w:type="dxa"/>
          <w:right w:w="108" w:type="dxa"/>
        </w:tblCellMar>
      </w:tblPr>
      <w:tblGrid>
        <w:gridCol w:w="753"/>
        <w:gridCol w:w="1710"/>
        <w:gridCol w:w="1365"/>
        <w:gridCol w:w="4881"/>
        <w:gridCol w:w="1417"/>
      </w:tblGrid>
      <w:tr>
        <w:tblPrEx>
          <w:tblLayout w:type="fixed"/>
          <w:tblCellMar>
            <w:top w:w="0" w:type="dxa"/>
            <w:left w:w="108" w:type="dxa"/>
            <w:bottom w:w="0" w:type="dxa"/>
            <w:right w:w="108" w:type="dxa"/>
          </w:tblCellMar>
        </w:tblPrEx>
        <w:trPr>
          <w:trHeight w:val="675" w:hRule="atLeast"/>
        </w:trPr>
        <w:tc>
          <w:tcPr>
            <w:tcW w:w="8709"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 xml:space="preserve">  综合</w:t>
            </w:r>
            <w:r>
              <w:rPr>
                <w:rFonts w:hint="eastAsia" w:asciiTheme="minorEastAsia" w:hAnsiTheme="minorEastAsia" w:eastAsiaTheme="minorEastAsia"/>
                <w:b/>
                <w:bCs/>
                <w:sz w:val="24"/>
                <w:szCs w:val="24"/>
              </w:rPr>
              <w:t>评分表</w:t>
            </w:r>
          </w:p>
        </w:tc>
        <w:tc>
          <w:tcPr>
            <w:tcW w:w="1417" w:type="dxa"/>
            <w:tcBorders>
              <w:top w:val="single" w:color="auto" w:sz="4" w:space="0"/>
              <w:left w:val="nil"/>
              <w:bottom w:val="single" w:color="auto" w:sz="4" w:space="0"/>
              <w:right w:val="single" w:color="auto" w:sz="4" w:space="0"/>
            </w:tcBorders>
            <w:shd w:val="clear" w:color="auto" w:fill="auto"/>
            <w:vAlign w:val="bottom"/>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r>
      <w:tr>
        <w:tblPrEx>
          <w:tblLayout w:type="fixed"/>
          <w:tblCellMar>
            <w:top w:w="0" w:type="dxa"/>
            <w:left w:w="108" w:type="dxa"/>
            <w:bottom w:w="0" w:type="dxa"/>
            <w:right w:w="108" w:type="dxa"/>
          </w:tblCellMar>
        </w:tblPrEx>
        <w:trPr>
          <w:trHeight w:val="285" w:hRule="atLeast"/>
        </w:trPr>
        <w:tc>
          <w:tcPr>
            <w:tcW w:w="7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710"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评分因素</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分值</w:t>
            </w:r>
          </w:p>
        </w:tc>
        <w:tc>
          <w:tcPr>
            <w:tcW w:w="4881"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1417" w:type="dxa"/>
            <w:tcBorders>
              <w:top w:val="nil"/>
              <w:left w:val="nil"/>
              <w:bottom w:val="single" w:color="auto" w:sz="4" w:space="0"/>
              <w:right w:val="single" w:color="auto" w:sz="4" w:space="0"/>
            </w:tcBorders>
            <w:shd w:val="clear" w:color="auto" w:fill="auto"/>
            <w:vAlign w:val="bottom"/>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Layout w:type="fixed"/>
          <w:tblCellMar>
            <w:top w:w="0" w:type="dxa"/>
            <w:left w:w="108" w:type="dxa"/>
            <w:bottom w:w="0" w:type="dxa"/>
            <w:right w:w="108" w:type="dxa"/>
          </w:tblCellMar>
        </w:tblPrEx>
        <w:trPr>
          <w:trHeight w:val="735" w:hRule="atLeast"/>
        </w:trPr>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收费报价（费率）</w:t>
            </w:r>
          </w:p>
        </w:tc>
        <w:tc>
          <w:tcPr>
            <w:tcW w:w="13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集合计划受托管理费率15分</w:t>
            </w: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1．所有比选申请人有效报价（集合计划受托管理费费率）的最低值为满分，满分</w:t>
            </w: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 xml:space="preserve">5分。 </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符合年金相关政策及行业自律公约</w:t>
            </w:r>
          </w:p>
        </w:tc>
      </w:tr>
      <w:tr>
        <w:tblPrEx>
          <w:tblLayout w:type="fixed"/>
          <w:tblCellMar>
            <w:top w:w="0" w:type="dxa"/>
            <w:left w:w="108" w:type="dxa"/>
            <w:bottom w:w="0" w:type="dxa"/>
            <w:right w:w="108" w:type="dxa"/>
          </w:tblCellMar>
        </w:tblPrEx>
        <w:trPr>
          <w:trHeight w:val="69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2．本次报价费率小于等于0</w:t>
            </w: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的，得1</w:t>
            </w:r>
            <w:r>
              <w:rPr>
                <w:rFonts w:asciiTheme="minorEastAsia" w:hAnsiTheme="minorEastAsia" w:eastAsiaTheme="minorEastAsia"/>
                <w:color w:val="000000"/>
                <w:sz w:val="24"/>
                <w:szCs w:val="24"/>
                <w:lang w:eastAsia="zh-CN"/>
              </w:rPr>
              <w:t>5</w:t>
            </w:r>
            <w:r>
              <w:rPr>
                <w:rFonts w:hint="eastAsia" w:asciiTheme="minorEastAsia" w:hAnsiTheme="minorEastAsia" w:eastAsiaTheme="minorEastAsia"/>
                <w:color w:val="000000"/>
                <w:sz w:val="24"/>
                <w:szCs w:val="24"/>
                <w:lang w:eastAsia="zh-CN"/>
              </w:rPr>
              <w:t>分；</w:t>
            </w:r>
          </w:p>
          <w:p>
            <w:pPr>
              <w:widowControl/>
              <w:ind w:firstLine="360" w:firstLineChars="15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本次报价费率大于0</w:t>
            </w: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且小于等于0</w:t>
            </w:r>
            <w:r>
              <w:rPr>
                <w:rFonts w:asciiTheme="minorEastAsia" w:hAnsiTheme="minorEastAsia" w:eastAsiaTheme="minorEastAsia"/>
                <w:color w:val="000000"/>
                <w:sz w:val="24"/>
                <w:szCs w:val="24"/>
                <w:lang w:eastAsia="zh-CN"/>
              </w:rPr>
              <w:t>.12%</w:t>
            </w:r>
            <w:r>
              <w:rPr>
                <w:rFonts w:hint="eastAsia" w:asciiTheme="minorEastAsia" w:hAnsiTheme="minorEastAsia" w:eastAsiaTheme="minorEastAsia"/>
                <w:color w:val="000000"/>
                <w:sz w:val="24"/>
                <w:szCs w:val="24"/>
                <w:lang w:eastAsia="zh-CN"/>
              </w:rPr>
              <w:t>的，得12分；</w:t>
            </w:r>
          </w:p>
          <w:p>
            <w:pPr>
              <w:widowControl/>
              <w:ind w:firstLine="360" w:firstLineChars="15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本次报价费率大于0</w:t>
            </w:r>
            <w:r>
              <w:rPr>
                <w:rFonts w:asciiTheme="minorEastAsia" w:hAnsiTheme="minorEastAsia" w:eastAsiaTheme="minorEastAsia"/>
                <w:color w:val="000000"/>
                <w:sz w:val="24"/>
                <w:szCs w:val="24"/>
                <w:lang w:eastAsia="zh-CN"/>
              </w:rPr>
              <w:t>.12%</w:t>
            </w:r>
            <w:r>
              <w:rPr>
                <w:rFonts w:hint="eastAsia" w:asciiTheme="minorEastAsia" w:hAnsiTheme="minorEastAsia" w:eastAsiaTheme="minorEastAsia"/>
                <w:color w:val="000000"/>
                <w:sz w:val="24"/>
                <w:szCs w:val="24"/>
                <w:lang w:eastAsia="zh-CN"/>
              </w:rPr>
              <w:t>且小于等于0</w:t>
            </w:r>
            <w:r>
              <w:rPr>
                <w:rFonts w:asciiTheme="minorEastAsia" w:hAnsiTheme="minorEastAsia" w:eastAsiaTheme="minorEastAsia"/>
                <w:color w:val="000000"/>
                <w:sz w:val="24"/>
                <w:szCs w:val="24"/>
                <w:lang w:eastAsia="zh-CN"/>
              </w:rPr>
              <w:t>.14%</w:t>
            </w:r>
            <w:r>
              <w:rPr>
                <w:rFonts w:hint="eastAsia" w:asciiTheme="minorEastAsia" w:hAnsiTheme="minorEastAsia" w:eastAsiaTheme="minorEastAsia"/>
                <w:color w:val="000000"/>
                <w:sz w:val="24"/>
                <w:szCs w:val="24"/>
                <w:lang w:eastAsia="zh-CN"/>
              </w:rPr>
              <w:t>的，得9分；</w:t>
            </w:r>
          </w:p>
          <w:p>
            <w:pPr>
              <w:widowControl/>
              <w:ind w:firstLine="360" w:firstLineChars="15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本次报价费率大于0</w:t>
            </w:r>
            <w:r>
              <w:rPr>
                <w:rFonts w:asciiTheme="minorEastAsia" w:hAnsiTheme="minorEastAsia" w:eastAsiaTheme="minorEastAsia"/>
                <w:color w:val="000000"/>
                <w:sz w:val="24"/>
                <w:szCs w:val="24"/>
                <w:lang w:eastAsia="zh-CN"/>
              </w:rPr>
              <w:t>.14%</w:t>
            </w:r>
            <w:r>
              <w:rPr>
                <w:rFonts w:hint="eastAsia" w:asciiTheme="minorEastAsia" w:hAnsiTheme="minorEastAsia" w:eastAsiaTheme="minorEastAsia"/>
                <w:color w:val="000000"/>
                <w:sz w:val="24"/>
                <w:szCs w:val="24"/>
                <w:lang w:eastAsia="zh-CN"/>
              </w:rPr>
              <w:t>的，得6分；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10"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受托人综合实力</w:t>
            </w:r>
          </w:p>
        </w:tc>
        <w:tc>
          <w:tcPr>
            <w:tcW w:w="1365"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30分</w:t>
            </w: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b/>
                <w:bCs/>
                <w:color w:val="000000"/>
                <w:sz w:val="24"/>
                <w:szCs w:val="24"/>
              </w:rPr>
              <w:t>近八年盈利情况：</w:t>
            </w:r>
          </w:p>
        </w:tc>
        <w:tc>
          <w:tcPr>
            <w:tcW w:w="1417"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连续8年盈利得6分；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连续3年盈利得3分；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未实现盈利得0分。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51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color w:val="000000"/>
                <w:sz w:val="24"/>
                <w:szCs w:val="24"/>
                <w:lang w:eastAsia="zh-CN"/>
              </w:rPr>
            </w:pPr>
            <w:r>
              <w:rPr>
                <w:rFonts w:hint="eastAsia" w:asciiTheme="minorEastAsia" w:hAnsiTheme="minorEastAsia" w:eastAsiaTheme="minorEastAsia"/>
                <w:b/>
                <w:bCs/>
                <w:color w:val="000000"/>
                <w:sz w:val="24"/>
                <w:szCs w:val="24"/>
                <w:lang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bCs/>
                <w:color w:val="000000"/>
                <w:sz w:val="24"/>
                <w:szCs w:val="24"/>
                <w:lang w:eastAsia="zh-CN"/>
              </w:rPr>
              <w:t>企业年金受托资产规模（以人社部公布的2017年末数据为准）：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资产金额大于1500亿得6分；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资产金额大于1000亿，小于1500亿（含）得3分；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资产金额小于1000亿（含）得1分。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1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bCs/>
                <w:sz w:val="24"/>
                <w:szCs w:val="24"/>
                <w:lang w:eastAsia="zh-CN"/>
              </w:rPr>
              <w:t>企业年金受托管理客户数（以人社部公布的2017年末数据为准）：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企业数大于20000个得6分；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35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企业数大于10000个，小于20000个（含）得3分；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企业数小于10000个（含）得1分。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4.注册资本：</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注册资本金大于40亿，综合实力强，品牌知名度高，得6分；</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注册资本金大于30亿，综合实力强，品牌知名度高，得3分； </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注册资金本小于30亿，综合实力一般，品牌知名度一般，得1分。</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rPr>
            </w:pPr>
            <w:r>
              <w:rPr>
                <w:rFonts w:asciiTheme="minorEastAsia" w:hAnsiTheme="minorEastAsia" w:eastAsiaTheme="minorEastAsia"/>
                <w:b/>
                <w:bCs/>
                <w:sz w:val="24"/>
                <w:szCs w:val="24"/>
              </w:rPr>
              <w:t>5</w:t>
            </w:r>
            <w:r>
              <w:rPr>
                <w:rFonts w:hint="eastAsia" w:asciiTheme="minorEastAsia" w:hAnsiTheme="minorEastAsia" w:eastAsiaTheme="minorEastAsia"/>
                <w:b/>
                <w:bCs/>
                <w:sz w:val="24"/>
                <w:szCs w:val="24"/>
              </w:rPr>
              <w:t>.分支机构分布情况：</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分支机构超过30家，覆盖全国，得6分；</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分支机构超过25家，覆盖大部分省市，得3分；</w:t>
            </w:r>
          </w:p>
        </w:tc>
        <w:tc>
          <w:tcPr>
            <w:tcW w:w="1417"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7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136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分支机构超过5家，覆盖较少省市，得0分。</w:t>
            </w:r>
          </w:p>
        </w:tc>
        <w:tc>
          <w:tcPr>
            <w:tcW w:w="14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10"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受托管理能力</w:t>
            </w:r>
          </w:p>
        </w:tc>
        <w:tc>
          <w:tcPr>
            <w:tcW w:w="1365"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20分</w:t>
            </w: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1．受托管理信息系统功能：</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w:t>
            </w:r>
          </w:p>
        </w:tc>
      </w:tr>
      <w:tr>
        <w:tblPrEx>
          <w:tblLayout w:type="fixed"/>
          <w:tblCellMar>
            <w:top w:w="0" w:type="dxa"/>
            <w:left w:w="108" w:type="dxa"/>
            <w:bottom w:w="0" w:type="dxa"/>
            <w:right w:w="108" w:type="dxa"/>
          </w:tblCellMar>
        </w:tblPrEx>
        <w:trPr>
          <w:trHeight w:val="117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受托IT系统先进完备，对流程各环节管理监控到位，过程清晰透明，与账管、托管无缝衔接；网上年金服务平台可以提供在线的缴费、待遇支付、人员变动等自助服务并提供及时的系统技术支持和培训服务，得5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96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受托IT系统较为完备，主要业务与账管、托管系统自动衔接，部分业务可能采用人工操作的任务管理机制；网上年金服务平台不能完全提供以上服务项目得3分。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2．风控体系与风控制度：</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69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具有严格的风险管理制度，风险管理体系完备、组织清晰，风管能力强得5分；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60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有风险管理制度，风险管理体系较完备、风管能力一般得3分；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67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无明确的风险管理制度，体系不完备、组织较混乱得1分。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40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3．对公司年金计划提供合理的选择方案：</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63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提供不同选择计划，针对公司性质、企业年金资金规模等情况提出充分的选择建议，分析清晰、有说服力得5分；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645"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提供不同选择计划，针对公司性质、企业年金资金规模等情况提出选择建议，进行了一定分析得3分；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4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提供不同选择计划，选择建议比较笼统，针对性不够得1分。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4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4．对公司年金计划提供合理的选择方案：</w:t>
            </w:r>
          </w:p>
        </w:tc>
        <w:tc>
          <w:tcPr>
            <w:tcW w:w="1417"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4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拥有供委托人员工使用的手机APP，操作便捷，功能丰富，可以快速满足员工查询、计划加入、缴费申请、待遇支付申请、计税测算等自助处理需求得5分；</w:t>
            </w:r>
          </w:p>
        </w:tc>
        <w:tc>
          <w:tcPr>
            <w:tcW w:w="1417"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40" w:hRule="atLeast"/>
        </w:trPr>
        <w:tc>
          <w:tcPr>
            <w:tcW w:w="753"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有供员工使用的手机APP，操作不够便捷，功能不够丰富得3分 ；</w:t>
            </w:r>
          </w:p>
        </w:tc>
        <w:tc>
          <w:tcPr>
            <w:tcW w:w="1417"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40" w:hRule="atLeast"/>
        </w:trPr>
        <w:tc>
          <w:tcPr>
            <w:tcW w:w="753"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无此类APP，仅有可以为员工提供基本信息查询的服务，功能不完善得1分；</w:t>
            </w:r>
          </w:p>
        </w:tc>
        <w:tc>
          <w:tcPr>
            <w:tcW w:w="1417" w:type="dxa"/>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10" w:hRule="atLeast"/>
        </w:trPr>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投资管理能力</w:t>
            </w:r>
          </w:p>
        </w:tc>
        <w:tc>
          <w:tcPr>
            <w:tcW w:w="13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 分</w:t>
            </w: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1．比选申请人2015-2017年集合计划固定收益类组合简单算术平均收益率排名：</w:t>
            </w:r>
          </w:p>
        </w:tc>
        <w:tc>
          <w:tcPr>
            <w:tcW w:w="1417"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以人社部公布的《全国企业年金基金业务数据摘要》数据为准</w:t>
            </w:r>
          </w:p>
        </w:tc>
      </w:tr>
      <w:tr>
        <w:tblPrEx>
          <w:tblLayout w:type="fixed"/>
          <w:tblCellMar>
            <w:top w:w="0" w:type="dxa"/>
            <w:left w:w="108" w:type="dxa"/>
            <w:bottom w:w="0" w:type="dxa"/>
            <w:right w:w="108" w:type="dxa"/>
          </w:tblCellMar>
        </w:tblPrEx>
        <w:trPr>
          <w:trHeight w:val="285"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在比选申请人中排名第一得10分；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386"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在比选申请人中排名第二得6分；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tabs>
                <w:tab w:val="left" w:pos="4620"/>
              </w:tabs>
              <w:ind w:right="1459" w:rightChars="66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在比选申请人中排名第三得3分。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51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2．比选申请人2015-2017年集合计划含权益类组合简单算术平均收益率排名 ：</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在比选申请人中排名第一得10分；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在比选申请人中排名第二得6分；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在比选申请人中排名第三得3分。</w:t>
            </w:r>
          </w:p>
        </w:tc>
        <w:tc>
          <w:tcPr>
            <w:tcW w:w="1417" w:type="dxa"/>
            <w:vMerge w:val="continue"/>
            <w:tcBorders>
              <w:left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服务能力</w:t>
            </w:r>
          </w:p>
        </w:tc>
        <w:tc>
          <w:tcPr>
            <w:tcW w:w="13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asciiTheme="minorEastAsia" w:hAnsiTheme="minorEastAsia" w:eastAsiaTheme="minorEastAsia"/>
                <w:sz w:val="24"/>
                <w:szCs w:val="24"/>
              </w:rPr>
              <w:t>15</w:t>
            </w:r>
            <w:r>
              <w:rPr>
                <w:rFonts w:hint="eastAsia" w:asciiTheme="minorEastAsia" w:hAnsiTheme="minorEastAsia" w:eastAsiaTheme="minorEastAsia"/>
                <w:sz w:val="24"/>
                <w:szCs w:val="24"/>
              </w:rPr>
              <w:t>分</w:t>
            </w: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项目服务团队：</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r>
      <w:tr>
        <w:tblPrEx>
          <w:tblLayout w:type="fixed"/>
          <w:tblCellMar>
            <w:top w:w="0" w:type="dxa"/>
            <w:left w:w="108" w:type="dxa"/>
            <w:bottom w:w="0" w:type="dxa"/>
            <w:right w:w="108" w:type="dxa"/>
          </w:tblCellMar>
        </w:tblPrEx>
        <w:trPr>
          <w:trHeight w:val="72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成立专属的服务团队，根据服务团队人员配备、工作经验综合评比后酌情打分，</w:t>
            </w:r>
            <w:r>
              <w:rPr>
                <w:rFonts w:asciiTheme="minorEastAsia" w:hAnsiTheme="minorEastAsia" w:eastAsiaTheme="minorEastAsia"/>
                <w:sz w:val="24"/>
                <w:szCs w:val="24"/>
                <w:lang w:eastAsia="zh-CN"/>
              </w:rPr>
              <w:t>0-10</w:t>
            </w:r>
            <w:r>
              <w:rPr>
                <w:rFonts w:hint="eastAsia" w:asciiTheme="minorEastAsia" w:hAnsiTheme="minorEastAsia" w:eastAsiaTheme="minorEastAsia"/>
                <w:sz w:val="24"/>
                <w:szCs w:val="24"/>
                <w:lang w:eastAsia="zh-CN"/>
              </w:rPr>
              <w:t>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30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2.服务机构：</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30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有属地化的专职服务机构，保证项目的顺利推进，得</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30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没有属地化的专职服务机构，有相关部门设置可提供属地服务，得</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300" w:hRule="atLeast"/>
        </w:trPr>
        <w:tc>
          <w:tcPr>
            <w:tcW w:w="75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710"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p>
        </w:tc>
        <w:tc>
          <w:tcPr>
            <w:tcW w:w="4881"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没有属地化的专职服务机构，有相关人员可提供属地服务，得1分。</w:t>
            </w:r>
          </w:p>
        </w:tc>
        <w:tc>
          <w:tcPr>
            <w:tcW w:w="1417" w:type="dxa"/>
            <w:vMerge w:val="continue"/>
            <w:tcBorders>
              <w:top w:val="nil"/>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szCs w:val="24"/>
                <w:lang w:eastAsia="zh-CN"/>
              </w:rPr>
            </w:pPr>
          </w:p>
        </w:tc>
      </w:tr>
      <w:tr>
        <w:tblPrEx>
          <w:tblLayout w:type="fixed"/>
          <w:tblCellMar>
            <w:top w:w="0" w:type="dxa"/>
            <w:left w:w="108" w:type="dxa"/>
            <w:bottom w:w="0" w:type="dxa"/>
            <w:right w:w="108" w:type="dxa"/>
          </w:tblCellMar>
        </w:tblPrEx>
        <w:trPr>
          <w:trHeight w:val="285" w:hRule="atLeast"/>
        </w:trPr>
        <w:tc>
          <w:tcPr>
            <w:tcW w:w="7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710"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629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r>
    </w:tbl>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4）编写比选报告</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比选小组将根据经评审的比选申请人的综合得分由高至低进行排序，综合得分最高的比选申请人推荐为中选候选人。</w:t>
      </w: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第四章  比选申请文件格式</w:t>
      </w: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24"/>
          <w:szCs w:val="24"/>
          <w:lang w:eastAsia="zh-CN"/>
        </w:rPr>
      </w:pPr>
    </w:p>
    <w:p>
      <w:pPr>
        <w:ind w:firstLine="118" w:firstLineChars="49"/>
        <w:rPr>
          <w:rFonts w:asciiTheme="minorEastAsia" w:hAnsiTheme="minorEastAsia" w:eastAsiaTheme="minorEastAsia"/>
          <w:sz w:val="24"/>
          <w:szCs w:val="24"/>
          <w:lang w:eastAsia="zh-CN"/>
        </w:rPr>
      </w:pPr>
      <w:r>
        <w:rPr>
          <w:rFonts w:hint="eastAsia" w:asciiTheme="minorEastAsia" w:hAnsiTheme="minorEastAsia" w:eastAsiaTheme="minorEastAsia"/>
          <w:b/>
          <w:bCs/>
          <w:sz w:val="24"/>
          <w:szCs w:val="24"/>
          <w:lang w:eastAsia="zh-CN"/>
        </w:rPr>
        <w:t xml:space="preserve">                           </w:t>
      </w:r>
      <w:r>
        <w:rPr>
          <w:rFonts w:asciiTheme="minorEastAsia" w:hAnsiTheme="minorEastAsia" w:eastAsiaTheme="minorEastAsia"/>
          <w:b/>
          <w:bCs/>
          <w:sz w:val="24"/>
          <w:szCs w:val="24"/>
          <w:lang w:eastAsia="zh-CN"/>
        </w:rPr>
        <w:t xml:space="preserve">             </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ind w:left="1980" w:leftChars="900"/>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企业年金受托人项目</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jc w:val="center"/>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比</w:t>
      </w:r>
    </w:p>
    <w:p>
      <w:pPr>
        <w:spacing w:line="360" w:lineRule="auto"/>
        <w:jc w:val="center"/>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选</w:t>
      </w:r>
    </w:p>
    <w:p>
      <w:pPr>
        <w:spacing w:line="360" w:lineRule="auto"/>
        <w:jc w:val="center"/>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申</w:t>
      </w:r>
    </w:p>
    <w:p>
      <w:pPr>
        <w:spacing w:line="360" w:lineRule="auto"/>
        <w:jc w:val="center"/>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请</w:t>
      </w:r>
    </w:p>
    <w:p>
      <w:pPr>
        <w:spacing w:line="360" w:lineRule="auto"/>
        <w:jc w:val="center"/>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文</w:t>
      </w:r>
    </w:p>
    <w:p>
      <w:pPr>
        <w:spacing w:line="360" w:lineRule="auto"/>
        <w:jc w:val="center"/>
        <w:rPr>
          <w:rFonts w:asciiTheme="minorEastAsia" w:hAnsiTheme="minorEastAsia" w:eastAsiaTheme="minorEastAsia"/>
          <w:sz w:val="48"/>
          <w:szCs w:val="48"/>
          <w:lang w:eastAsia="zh-CN"/>
        </w:rPr>
      </w:pPr>
      <w:r>
        <w:rPr>
          <w:rFonts w:hint="eastAsia" w:asciiTheme="minorEastAsia" w:hAnsiTheme="minorEastAsia" w:eastAsiaTheme="minorEastAsia"/>
          <w:sz w:val="48"/>
          <w:szCs w:val="48"/>
          <w:lang w:eastAsia="zh-CN"/>
        </w:rPr>
        <w:t>件</w:t>
      </w:r>
    </w:p>
    <w:p>
      <w:pPr>
        <w:spacing w:line="360" w:lineRule="auto"/>
        <w:rPr>
          <w:rFonts w:asciiTheme="minorEastAsia" w:hAnsiTheme="minorEastAsia" w:eastAsiaTheme="minorEastAsia"/>
          <w:sz w:val="48"/>
          <w:szCs w:val="48"/>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w:t>
      </w:r>
      <w:r>
        <w:rPr>
          <w:rFonts w:asciiTheme="minorEastAsia" w:hAnsiTheme="minorEastAsia" w:eastAsiaTheme="minorEastAsia"/>
          <w:sz w:val="24"/>
          <w:szCs w:val="24"/>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（盖单位章）</w:t>
      </w: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法定代表人或其授权委托代理人：</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（签字）</w:t>
      </w:r>
    </w:p>
    <w:p>
      <w:pPr>
        <w:spacing w:line="360" w:lineRule="auto"/>
        <w:ind w:left="1320" w:leftChars="600"/>
        <w:rPr>
          <w:rFonts w:asciiTheme="minorEastAsia" w:hAnsiTheme="minorEastAsia" w:eastAsiaTheme="minorEastAsia"/>
          <w:sz w:val="24"/>
          <w:szCs w:val="24"/>
          <w:lang w:eastAsia="zh-CN"/>
        </w:rPr>
      </w:pPr>
    </w:p>
    <w:p>
      <w:pPr>
        <w:spacing w:line="360" w:lineRule="auto"/>
        <w:ind w:firstLine="1680" w:firstLineChars="7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日期：</w:t>
      </w:r>
      <w:r>
        <w:rPr>
          <w:rFonts w:asciiTheme="minorEastAsia" w:hAnsiTheme="minorEastAsia" w:eastAsiaTheme="minorEastAsia"/>
          <w:sz w:val="24"/>
          <w:szCs w:val="24"/>
          <w:u w:val="single"/>
          <w:lang w:eastAsia="zh-CN"/>
        </w:rPr>
        <w:t>2018</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日</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line="360" w:lineRule="auto"/>
        <w:jc w:val="center"/>
        <w:outlineLvl w:val="0"/>
        <w:rPr>
          <w:rFonts w:asciiTheme="minorEastAsia" w:hAnsiTheme="minorEastAsia" w:eastAsiaTheme="minorEastAsia"/>
          <w:b/>
          <w:sz w:val="24"/>
          <w:szCs w:val="24"/>
          <w:lang w:eastAsia="zh-CN"/>
        </w:rPr>
      </w:pPr>
      <w:bookmarkStart w:id="3" w:name="_Toc519174744"/>
      <w:bookmarkStart w:id="4" w:name="_Toc521331989"/>
      <w:bookmarkStart w:id="5" w:name="_Toc520726092"/>
      <w:bookmarkStart w:id="6" w:name="_Toc521510890"/>
      <w:r>
        <w:rPr>
          <w:rFonts w:hint="eastAsia" w:asciiTheme="minorEastAsia" w:hAnsiTheme="minorEastAsia" w:eastAsiaTheme="minorEastAsia"/>
          <w:b/>
          <w:sz w:val="24"/>
          <w:szCs w:val="24"/>
          <w:lang w:eastAsia="zh-CN"/>
        </w:rPr>
        <w:t>一、比选申请函</w:t>
      </w:r>
      <w:bookmarkEnd w:id="3"/>
      <w:bookmarkEnd w:id="4"/>
      <w:bookmarkEnd w:id="5"/>
      <w:bookmarkEnd w:id="6"/>
    </w:p>
    <w:p>
      <w:pPr>
        <w:pStyle w:val="15"/>
        <w:spacing w:line="360" w:lineRule="auto"/>
        <w:ind w:left="0" w:left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(比选人)：</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一、我方全面研究了 </w:t>
      </w:r>
      <w:r>
        <w:rPr>
          <w:rFonts w:hint="eastAsia" w:asciiTheme="minorEastAsia" w:hAnsiTheme="minorEastAsia" w:eastAsiaTheme="minorEastAsia"/>
          <w:sz w:val="24"/>
          <w:szCs w:val="24"/>
          <w:u w:val="single"/>
          <w:lang w:eastAsia="zh-CN"/>
        </w:rPr>
        <w:t xml:space="preserve"> 企业年金受托人 </w:t>
      </w:r>
      <w:r>
        <w:rPr>
          <w:rFonts w:hint="eastAsia" w:asciiTheme="minorEastAsia" w:hAnsiTheme="minorEastAsia" w:eastAsiaTheme="minorEastAsia"/>
          <w:sz w:val="24"/>
          <w:szCs w:val="24"/>
          <w:lang w:eastAsia="zh-CN"/>
        </w:rPr>
        <w:t>项目比选文件，决定参加比选人组织的本项目比选。我方授权</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(姓名、职务)代表我方</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(比选申请人名称)全权处理本项目比选的有关事宜。</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二、一旦我方成交，我方将严格履行合同规定的责任和义务，保证于合同签字生效后在比选人要求的时间内完成本项目全部工作。</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三、我方为本项目提交的比选申请文件正本1份，副本</w:t>
      </w:r>
      <w:r>
        <w:rPr>
          <w:rFonts w:hint="eastAsia" w:asciiTheme="minorEastAsia" w:hAnsiTheme="minorEastAsia" w:eastAsiaTheme="minorEastAsia"/>
          <w:sz w:val="24"/>
          <w:szCs w:val="24"/>
          <w:u w:val="single"/>
          <w:lang w:eastAsia="zh-CN"/>
        </w:rPr>
        <w:t xml:space="preserve"> 2 </w:t>
      </w:r>
      <w:r>
        <w:rPr>
          <w:rFonts w:hint="eastAsia" w:asciiTheme="minorEastAsia" w:hAnsiTheme="minorEastAsia" w:eastAsiaTheme="minorEastAsia"/>
          <w:sz w:val="24"/>
          <w:szCs w:val="24"/>
          <w:lang w:eastAsia="zh-CN"/>
        </w:rPr>
        <w:t>份，电子文档</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份。</w:t>
      </w:r>
    </w:p>
    <w:p>
      <w:pPr>
        <w:pStyle w:val="15"/>
        <w:spacing w:line="360" w:lineRule="auto"/>
        <w:ind w:left="0" w:leftChars="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四、我方承诺，比选有效期为比选截止时间后</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个日历天内。</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五、我方愿意提供选择人可能另外要求的，与比选有关的文件资料，并保证我方已提供和将要提供的文件资料是真实、准确的。</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六、我方知道并同意：如果接到中选通知书后未按选择人要求的时间签订正式合同或坚持提出附加条件，选择人有权选择其他比选申请人为中选人。</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七、我方知道并同意，比选人并无义务必须接受所收到的价格最低的或其他任何比选申请文件。同时也理解，选择人不负担比选申请人任何参与比选的费用。</w:t>
      </w:r>
    </w:p>
    <w:p>
      <w:pPr>
        <w:pStyle w:val="15"/>
        <w:spacing w:line="360" w:lineRule="auto"/>
        <w:ind w:left="0" w:lef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八、我方郑重承诺：按比选人要求做好后期服务。</w:t>
      </w:r>
    </w:p>
    <w:p>
      <w:pPr>
        <w:pStyle w:val="15"/>
        <w:spacing w:line="360" w:lineRule="auto"/>
        <w:ind w:left="0" w:leftChars="0"/>
        <w:rPr>
          <w:rFonts w:asciiTheme="minorEastAsia" w:hAnsiTheme="minorEastAsia" w:eastAsiaTheme="minorEastAsia"/>
          <w:sz w:val="24"/>
          <w:szCs w:val="24"/>
          <w:lang w:eastAsia="zh-CN"/>
        </w:rPr>
      </w:pPr>
    </w:p>
    <w:p>
      <w:pPr>
        <w:pStyle w:val="15"/>
        <w:spacing w:line="360" w:lineRule="auto"/>
        <w:ind w:left="418" w:leftChars="19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比选申请人名称</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(盖章)</w:t>
      </w:r>
    </w:p>
    <w:p>
      <w:pPr>
        <w:pStyle w:val="15"/>
        <w:spacing w:line="360" w:lineRule="auto"/>
        <w:ind w:left="418" w:leftChars="19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法定代表人或委托代理人：</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(签字)</w:t>
      </w:r>
    </w:p>
    <w:p>
      <w:pPr>
        <w:pStyle w:val="15"/>
        <w:spacing w:line="360" w:lineRule="auto"/>
        <w:ind w:left="418" w:leftChars="19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通讯地址：</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15"/>
        <w:spacing w:line="360" w:lineRule="auto"/>
        <w:ind w:left="418" w:leftChars="19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ind w:firstLine="480" w:firstLineChars="200"/>
        <w:rPr>
          <w:rFonts w:asciiTheme="minorEastAsia" w:hAnsiTheme="minorEastAsia" w:eastAsiaTheme="minorEastAsia"/>
          <w:sz w:val="24"/>
          <w:szCs w:val="24"/>
          <w:lang w:eastAsia="zh-CN"/>
        </w:rPr>
      </w:pPr>
      <w:bookmarkStart w:id="7" w:name="_Toc4573"/>
      <w:r>
        <w:rPr>
          <w:rFonts w:hint="eastAsia" w:asciiTheme="minorEastAsia" w:hAnsiTheme="minorEastAsia" w:eastAsiaTheme="minorEastAsia"/>
          <w:sz w:val="24"/>
          <w:szCs w:val="24"/>
          <w:lang w:eastAsia="zh-CN"/>
        </w:rPr>
        <w:t>日    期：         年        月        日</w:t>
      </w:r>
      <w:bookmarkEnd w:id="7"/>
    </w:p>
    <w:p>
      <w:pPr>
        <w:spacing w:line="360" w:lineRule="auto"/>
        <w:jc w:val="center"/>
        <w:outlineLvl w:val="0"/>
        <w:rPr>
          <w:rFonts w:asciiTheme="minorEastAsia" w:hAnsiTheme="minorEastAsia" w:eastAsiaTheme="minorEastAsia"/>
          <w:b/>
          <w:sz w:val="24"/>
          <w:szCs w:val="24"/>
          <w:lang w:eastAsia="zh-CN"/>
        </w:rPr>
      </w:pPr>
      <w:bookmarkStart w:id="8" w:name="_Toc521331990"/>
      <w:bookmarkStart w:id="9" w:name="_Toc17374"/>
      <w:bookmarkStart w:id="10" w:name="_Toc519174745"/>
      <w:bookmarkStart w:id="11" w:name="_Toc521510891"/>
      <w:bookmarkStart w:id="12" w:name="_Toc520726093"/>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二、法定代表人证明书</w:t>
      </w:r>
      <w:bookmarkEnd w:id="8"/>
      <w:bookmarkEnd w:id="9"/>
      <w:bookmarkEnd w:id="10"/>
      <w:bookmarkEnd w:id="11"/>
      <w:bookmarkEnd w:id="12"/>
    </w:p>
    <w:p>
      <w:pPr>
        <w:jc w:val="center"/>
        <w:rPr>
          <w:rFonts w:asciiTheme="minorEastAsia" w:hAnsiTheme="minorEastAsia" w:eastAsiaTheme="minorEastAsia"/>
          <w:sz w:val="24"/>
          <w:szCs w:val="24"/>
          <w:lang w:eastAsia="zh-CN"/>
        </w:rPr>
      </w:pPr>
    </w:p>
    <w:p>
      <w:pPr>
        <w:jc w:val="center"/>
        <w:rPr>
          <w:rFonts w:asciiTheme="minorEastAsia" w:hAnsiTheme="minorEastAsia" w:eastAsiaTheme="minorEastAsia"/>
          <w:sz w:val="24"/>
          <w:szCs w:val="24"/>
          <w:lang w:eastAsia="zh-CN"/>
        </w:rPr>
      </w:pP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单位名称：</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单位性质：</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地    址：</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成立时间：</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经营期限：</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姓    名：</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性    别：</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龄：</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职    务：</w:t>
      </w:r>
      <w:r>
        <w:rPr>
          <w:rFonts w:hint="eastAsia"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系</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（比选申请人全称）</w:t>
      </w:r>
      <w:r>
        <w:rPr>
          <w:rFonts w:hint="eastAsia" w:asciiTheme="minorEastAsia" w:hAnsiTheme="minorEastAsia" w:eastAsiaTheme="minorEastAsia"/>
          <w:sz w:val="24"/>
          <w:szCs w:val="24"/>
          <w:lang w:eastAsia="zh-CN"/>
        </w:rPr>
        <w:t>的法定代表人。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ind w:left="4400" w:leftChars="20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（盖章）</w:t>
      </w:r>
    </w:p>
    <w:p>
      <w:pPr>
        <w:spacing w:line="360" w:lineRule="auto"/>
        <w:ind w:left="4400" w:leftChars="20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日期：</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注：附法定代表人的身份证复印件并加盖单位公章。</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line="360" w:lineRule="auto"/>
        <w:jc w:val="center"/>
        <w:outlineLvl w:val="0"/>
        <w:rPr>
          <w:rFonts w:asciiTheme="minorEastAsia" w:hAnsiTheme="minorEastAsia" w:eastAsiaTheme="minorEastAsia"/>
          <w:b/>
          <w:sz w:val="24"/>
          <w:szCs w:val="24"/>
          <w:lang w:eastAsia="zh-CN"/>
        </w:rPr>
      </w:pPr>
      <w:bookmarkStart w:id="13" w:name="_Toc519174746"/>
      <w:bookmarkStart w:id="14" w:name="_Toc521331991"/>
      <w:bookmarkStart w:id="15" w:name="_Toc521510892"/>
      <w:bookmarkStart w:id="16" w:name="_Toc520726094"/>
      <w:r>
        <w:rPr>
          <w:rFonts w:hint="eastAsia" w:asciiTheme="minorEastAsia" w:hAnsiTheme="minorEastAsia" w:eastAsiaTheme="minorEastAsia"/>
          <w:b/>
          <w:sz w:val="24"/>
          <w:szCs w:val="24"/>
          <w:lang w:eastAsia="zh-CN"/>
        </w:rPr>
        <w:t>三、法定代表人授权委托书</w:t>
      </w:r>
      <w:bookmarkEnd w:id="13"/>
      <w:bookmarkEnd w:id="14"/>
      <w:bookmarkEnd w:id="15"/>
      <w:bookmarkEnd w:id="16"/>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（比选人名称）：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本人</w:t>
      </w:r>
      <w:r>
        <w:rPr>
          <w:rFonts w:hint="eastAsia" w:asciiTheme="minorEastAsia" w:hAnsiTheme="minorEastAsia" w:eastAsiaTheme="minorEastAsia"/>
          <w:sz w:val="24"/>
          <w:szCs w:val="24"/>
          <w:u w:val="single"/>
          <w:lang w:eastAsia="zh-CN"/>
        </w:rPr>
        <w:t xml:space="preserve">  （姓名） </w:t>
      </w:r>
      <w:r>
        <w:rPr>
          <w:rFonts w:hint="eastAsia" w:asciiTheme="minorEastAsia" w:hAnsiTheme="minorEastAsia" w:eastAsiaTheme="minorEastAsia"/>
          <w:sz w:val="24"/>
          <w:szCs w:val="24"/>
          <w:lang w:eastAsia="zh-CN"/>
        </w:rPr>
        <w:t>系</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（比选申请人全称）</w:t>
      </w:r>
      <w:r>
        <w:rPr>
          <w:rFonts w:hint="eastAsia" w:asciiTheme="minorEastAsia" w:hAnsiTheme="minorEastAsia" w:eastAsiaTheme="minorEastAsia"/>
          <w:sz w:val="24"/>
          <w:szCs w:val="24"/>
          <w:lang w:eastAsia="zh-CN"/>
        </w:rPr>
        <w:t>的法定代表人，现授权委托</w:t>
      </w:r>
      <w:r>
        <w:rPr>
          <w:rFonts w:hint="eastAsia" w:asciiTheme="minorEastAsia" w:hAnsiTheme="minorEastAsia" w:eastAsiaTheme="minorEastAsia"/>
          <w:sz w:val="24"/>
          <w:szCs w:val="24"/>
          <w:u w:val="single"/>
          <w:lang w:eastAsia="zh-CN"/>
        </w:rPr>
        <w:t xml:space="preserve">     （被委托人姓名、职务）</w:t>
      </w:r>
      <w:r>
        <w:rPr>
          <w:rFonts w:hint="eastAsia" w:asciiTheme="minorEastAsia" w:hAnsiTheme="minorEastAsia" w:eastAsiaTheme="minorEastAsia"/>
          <w:sz w:val="24"/>
          <w:szCs w:val="24"/>
          <w:lang w:eastAsia="zh-CN"/>
        </w:rPr>
        <w:t>为我公司代理人，以本公司的名义参加</w:t>
      </w:r>
      <w:r>
        <w:rPr>
          <w:rFonts w:hint="eastAsia" w:asciiTheme="minorEastAsia" w:hAnsiTheme="minorEastAsia" w:eastAsiaTheme="minorEastAsia"/>
          <w:sz w:val="24"/>
          <w:szCs w:val="24"/>
          <w:u w:val="single"/>
          <w:lang w:eastAsia="zh-CN"/>
        </w:rPr>
        <w:t xml:space="preserve"> 企业年金受托人比选</w:t>
      </w:r>
      <w:r>
        <w:rPr>
          <w:rFonts w:hint="eastAsia" w:asciiTheme="minorEastAsia" w:hAnsiTheme="minorEastAsia" w:eastAsiaTheme="minorEastAsia"/>
          <w:sz w:val="24"/>
          <w:szCs w:val="24"/>
          <w:lang w:eastAsia="zh-CN"/>
        </w:rPr>
        <w:t>活动。代理人在比选活动过程中所签署的一切文件和处理与之有关的一切事务，均为代表本公司的行为，与本人的行为具有同等法律效力。本公司将承担代理人行为的一切法律责任和后果。</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委托期限：自本授权委托书签署之日起至第二章“比选须知”前附表规定的“比选有效期”结束为止。</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360" w:lineRule="auto"/>
        <w:rPr>
          <w:rFonts w:asciiTheme="minorEastAsia" w:hAnsiTheme="minorEastAsia" w:eastAsiaTheme="minorEastAsia"/>
          <w:sz w:val="24"/>
          <w:szCs w:val="24"/>
          <w:lang w:eastAsia="zh-CN"/>
        </w:rPr>
      </w:pPr>
    </w:p>
    <w:p>
      <w:pPr>
        <w:spacing w:line="360" w:lineRule="auto"/>
        <w:ind w:firstLine="1440" w:firstLineChars="6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（签字）</w:t>
      </w:r>
    </w:p>
    <w:p>
      <w:pPr>
        <w:spacing w:line="360" w:lineRule="auto"/>
        <w:ind w:firstLine="1440" w:firstLineChars="6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身份证号码：</w:t>
      </w:r>
      <w:r>
        <w:rPr>
          <w:rFonts w:hint="eastAsia" w:asciiTheme="minorEastAsia" w:hAnsiTheme="minorEastAsia" w:eastAsiaTheme="minorEastAsia"/>
          <w:sz w:val="24"/>
          <w:szCs w:val="24"/>
          <w:u w:val="single"/>
          <w:lang w:eastAsia="zh-CN"/>
        </w:rPr>
        <w:t xml:space="preserve">                           </w:t>
      </w:r>
    </w:p>
    <w:p>
      <w:pPr>
        <w:spacing w:line="360" w:lineRule="auto"/>
        <w:ind w:firstLine="1440" w:firstLineChars="6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  选  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（盖章）</w:t>
      </w:r>
    </w:p>
    <w:p>
      <w:pPr>
        <w:spacing w:line="360" w:lineRule="auto"/>
        <w:ind w:firstLine="1440" w:firstLineChars="6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法定代表人：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（签字或盖章）</w:t>
      </w:r>
    </w:p>
    <w:p>
      <w:pPr>
        <w:spacing w:line="360" w:lineRule="auto"/>
        <w:ind w:firstLine="1440" w:firstLineChars="6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授权委托日期：</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月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注：1、附法定代表人及委托代理人身份证复印件并加盖单位公章。</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2、比选申请人的法定代表人直接参加比选活动的，不提供本授权委托书。</w:t>
      </w: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line="360" w:lineRule="auto"/>
        <w:jc w:val="center"/>
        <w:outlineLvl w:val="0"/>
        <w:rPr>
          <w:b/>
          <w:sz w:val="24"/>
          <w:szCs w:val="24"/>
          <w:lang w:eastAsia="zh-CN"/>
        </w:rPr>
      </w:pPr>
      <w:bookmarkStart w:id="17" w:name="_Toc521510894"/>
      <w:bookmarkStart w:id="18" w:name="_Toc520726096"/>
      <w:bookmarkStart w:id="19" w:name="_Toc521331993"/>
      <w:bookmarkStart w:id="20" w:name="_Toc519174748"/>
      <w:r>
        <w:rPr>
          <w:rFonts w:hint="eastAsia" w:asciiTheme="minorEastAsia" w:hAnsiTheme="minorEastAsia" w:eastAsiaTheme="minorEastAsia"/>
          <w:b/>
          <w:sz w:val="24"/>
          <w:szCs w:val="24"/>
          <w:lang w:eastAsia="zh-CN"/>
        </w:rPr>
        <w:t>四、</w:t>
      </w:r>
      <w:r>
        <w:rPr>
          <w:rFonts w:hint="eastAsia"/>
          <w:b/>
          <w:sz w:val="24"/>
          <w:szCs w:val="24"/>
          <w:lang w:eastAsia="zh-CN"/>
        </w:rPr>
        <w:t>报价一览表</w:t>
      </w:r>
    </w:p>
    <w:p>
      <w:pPr>
        <w:spacing w:line="360" w:lineRule="auto"/>
        <w:rPr>
          <w:sz w:val="24"/>
          <w:lang w:eastAsia="zh-CN"/>
        </w:rPr>
      </w:pPr>
    </w:p>
    <w:p>
      <w:pPr>
        <w:spacing w:line="360" w:lineRule="auto"/>
        <w:jc w:val="right"/>
        <w:rPr>
          <w:sz w:val="24"/>
          <w:lang w:eastAsia="zh-CN"/>
        </w:rPr>
      </w:pPr>
      <w:r>
        <w:rPr>
          <w:rFonts w:hint="eastAsia"/>
          <w:szCs w:val="18"/>
          <w:lang w:eastAsia="zh-CN"/>
        </w:rPr>
        <w:t>货币单位：人民币/元</w:t>
      </w:r>
    </w:p>
    <w:tbl>
      <w:tblPr>
        <w:tblStyle w:val="2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827"/>
        <w:gridCol w:w="2828"/>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blHeader/>
        </w:trPr>
        <w:tc>
          <w:tcPr>
            <w:tcW w:w="1065" w:type="dxa"/>
            <w:shd w:val="clear" w:color="auto" w:fill="FFFFFF"/>
            <w:vAlign w:val="center"/>
          </w:tcPr>
          <w:p>
            <w:pPr>
              <w:spacing w:line="360" w:lineRule="auto"/>
              <w:jc w:val="center"/>
              <w:rPr>
                <w:sz w:val="24"/>
              </w:rPr>
            </w:pPr>
            <w:r>
              <w:rPr>
                <w:rFonts w:hint="eastAsia"/>
                <w:sz w:val="24"/>
              </w:rPr>
              <w:t>序号</w:t>
            </w:r>
          </w:p>
        </w:tc>
        <w:tc>
          <w:tcPr>
            <w:tcW w:w="2827" w:type="dxa"/>
            <w:shd w:val="clear" w:color="auto" w:fill="FFFFFF"/>
            <w:vAlign w:val="center"/>
          </w:tcPr>
          <w:p>
            <w:pPr>
              <w:spacing w:line="360" w:lineRule="auto"/>
              <w:jc w:val="center"/>
              <w:rPr>
                <w:sz w:val="24"/>
              </w:rPr>
            </w:pPr>
            <w:r>
              <w:rPr>
                <w:rFonts w:hint="eastAsia"/>
                <w:sz w:val="24"/>
                <w:lang w:eastAsia="zh-CN"/>
              </w:rPr>
              <w:t>费用</w:t>
            </w:r>
            <w:r>
              <w:rPr>
                <w:rFonts w:hint="eastAsia"/>
                <w:sz w:val="24"/>
              </w:rPr>
              <w:t>名称</w:t>
            </w:r>
          </w:p>
        </w:tc>
        <w:tc>
          <w:tcPr>
            <w:tcW w:w="2828" w:type="dxa"/>
            <w:shd w:val="clear" w:color="auto" w:fill="FFFFFF"/>
            <w:vAlign w:val="center"/>
          </w:tcPr>
          <w:p>
            <w:pPr>
              <w:spacing w:line="360" w:lineRule="auto"/>
              <w:jc w:val="center"/>
              <w:rPr>
                <w:sz w:val="24"/>
              </w:rPr>
            </w:pPr>
            <w:r>
              <w:rPr>
                <w:rFonts w:hint="eastAsia"/>
                <w:sz w:val="24"/>
                <w:lang w:eastAsia="zh-CN"/>
              </w:rPr>
              <w:t>比选</w:t>
            </w:r>
            <w:r>
              <w:rPr>
                <w:rFonts w:hint="eastAsia"/>
                <w:sz w:val="24"/>
              </w:rPr>
              <w:t>报价(下浮比例)</w:t>
            </w:r>
          </w:p>
        </w:tc>
        <w:tc>
          <w:tcPr>
            <w:tcW w:w="2460" w:type="dxa"/>
            <w:shd w:val="clear" w:color="auto" w:fill="FFFFFF"/>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065" w:type="dxa"/>
            <w:shd w:val="clear" w:color="auto" w:fill="auto"/>
            <w:vAlign w:val="center"/>
          </w:tcPr>
          <w:p>
            <w:pPr>
              <w:spacing w:line="360" w:lineRule="auto"/>
              <w:jc w:val="center"/>
              <w:rPr>
                <w:sz w:val="24"/>
              </w:rPr>
            </w:pPr>
          </w:p>
        </w:tc>
        <w:tc>
          <w:tcPr>
            <w:tcW w:w="2827" w:type="dxa"/>
            <w:shd w:val="clear" w:color="auto" w:fill="FFFFFF"/>
            <w:vAlign w:val="center"/>
          </w:tcPr>
          <w:p>
            <w:pPr>
              <w:widowControl/>
              <w:spacing w:line="360" w:lineRule="auto"/>
              <w:jc w:val="center"/>
              <w:rPr>
                <w:sz w:val="24"/>
              </w:rPr>
            </w:pPr>
          </w:p>
        </w:tc>
        <w:tc>
          <w:tcPr>
            <w:tcW w:w="2828" w:type="dxa"/>
            <w:shd w:val="clear" w:color="auto" w:fill="FFFFFF"/>
            <w:vAlign w:val="center"/>
          </w:tcPr>
          <w:p>
            <w:pPr>
              <w:spacing w:line="360" w:lineRule="auto"/>
              <w:jc w:val="center"/>
              <w:rPr>
                <w:sz w:val="24"/>
              </w:rPr>
            </w:pPr>
          </w:p>
        </w:tc>
        <w:tc>
          <w:tcPr>
            <w:tcW w:w="2460" w:type="dxa"/>
            <w:shd w:val="clear" w:color="auto" w:fill="FFFFFF"/>
            <w:vAlign w:val="center"/>
          </w:tcPr>
          <w:p>
            <w:pPr>
              <w:spacing w:line="360" w:lineRule="auto"/>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1065" w:type="dxa"/>
            <w:shd w:val="clear" w:color="auto" w:fill="auto"/>
            <w:vAlign w:val="center"/>
          </w:tcPr>
          <w:p>
            <w:pPr>
              <w:spacing w:line="360" w:lineRule="auto"/>
              <w:jc w:val="center"/>
              <w:rPr>
                <w:sz w:val="24"/>
              </w:rPr>
            </w:pPr>
          </w:p>
        </w:tc>
        <w:tc>
          <w:tcPr>
            <w:tcW w:w="2827" w:type="dxa"/>
            <w:shd w:val="clear" w:color="auto" w:fill="FFFFFF"/>
            <w:vAlign w:val="center"/>
          </w:tcPr>
          <w:p>
            <w:pPr>
              <w:widowControl/>
              <w:spacing w:line="360" w:lineRule="auto"/>
              <w:jc w:val="center"/>
              <w:rPr>
                <w:sz w:val="24"/>
                <w:lang w:eastAsia="zh-CN"/>
              </w:rPr>
            </w:pPr>
            <w:r>
              <w:rPr>
                <w:sz w:val="24"/>
                <w:lang w:eastAsia="zh-CN"/>
              </w:rPr>
              <w:t>…</w:t>
            </w:r>
          </w:p>
        </w:tc>
        <w:tc>
          <w:tcPr>
            <w:tcW w:w="2828" w:type="dxa"/>
            <w:shd w:val="clear" w:color="auto" w:fill="FFFFFF"/>
            <w:vAlign w:val="center"/>
          </w:tcPr>
          <w:p>
            <w:pPr>
              <w:spacing w:line="360" w:lineRule="auto"/>
              <w:jc w:val="center"/>
              <w:rPr>
                <w:sz w:val="24"/>
              </w:rPr>
            </w:pPr>
          </w:p>
        </w:tc>
        <w:tc>
          <w:tcPr>
            <w:tcW w:w="2460" w:type="dxa"/>
            <w:shd w:val="clear" w:color="auto" w:fill="FFFFFF"/>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180" w:type="dxa"/>
            <w:gridSpan w:val="4"/>
            <w:vAlign w:val="center"/>
          </w:tcPr>
          <w:p>
            <w:pPr>
              <w:widowControl/>
              <w:spacing w:line="360" w:lineRule="auto"/>
              <w:rPr>
                <w:sz w:val="24"/>
              </w:rPr>
            </w:pPr>
            <w:r>
              <w:rPr>
                <w:rFonts w:hint="eastAsia"/>
                <w:sz w:val="24"/>
              </w:rPr>
              <w:t>合计(大写)：</w:t>
            </w:r>
          </w:p>
        </w:tc>
      </w:tr>
    </w:tbl>
    <w:p>
      <w:pPr>
        <w:spacing w:line="360" w:lineRule="auto"/>
        <w:rPr>
          <w:szCs w:val="21"/>
        </w:rPr>
      </w:pPr>
      <w:r>
        <w:rPr>
          <w:rFonts w:hint="eastAsia"/>
          <w:szCs w:val="21"/>
        </w:rPr>
        <w:t>注：</w:t>
      </w:r>
    </w:p>
    <w:p>
      <w:pPr>
        <w:spacing w:line="360" w:lineRule="auto"/>
        <w:ind w:firstLine="440" w:firstLineChars="200"/>
        <w:rPr>
          <w:bCs/>
          <w:szCs w:val="21"/>
          <w:lang w:eastAsia="zh-CN"/>
        </w:rPr>
      </w:pPr>
      <w:r>
        <w:rPr>
          <w:rFonts w:hint="eastAsia"/>
          <w:szCs w:val="21"/>
          <w:lang w:eastAsia="zh-CN"/>
        </w:rPr>
        <w:t>1</w:t>
      </w:r>
      <w:r>
        <w:rPr>
          <w:rFonts w:hint="eastAsia"/>
          <w:bCs/>
          <w:szCs w:val="21"/>
          <w:lang w:eastAsia="zh-CN"/>
        </w:rPr>
        <w:t>. 比选报价为比选申请人全部报价，包括比选申请人履行本项目合同（如果中选）所必须的所有成本费用和比选申请人应承担的一切税费，包括但不限于办公、交通、人员、差旅、文件、税费、工具费用及其他管理费用等。</w:t>
      </w:r>
    </w:p>
    <w:p>
      <w:pPr>
        <w:spacing w:line="360" w:lineRule="auto"/>
        <w:ind w:firstLine="440" w:firstLineChars="200"/>
        <w:rPr>
          <w:b/>
          <w:bCs/>
          <w:szCs w:val="21"/>
          <w:lang w:eastAsia="zh-CN"/>
        </w:rPr>
      </w:pPr>
      <w:r>
        <w:rPr>
          <w:rFonts w:hint="eastAsia"/>
          <w:bCs/>
          <w:szCs w:val="21"/>
          <w:lang w:eastAsia="zh-CN"/>
        </w:rPr>
        <w:t>2. 对含糊不清或不确定的报价将视为无效报价。</w:t>
      </w:r>
    </w:p>
    <w:p>
      <w:pPr>
        <w:spacing w:line="360" w:lineRule="auto"/>
        <w:rPr>
          <w:sz w:val="24"/>
          <w:lang w:eastAsia="zh-CN"/>
        </w:rPr>
      </w:pPr>
    </w:p>
    <w:p>
      <w:pPr>
        <w:pStyle w:val="15"/>
        <w:spacing w:line="360" w:lineRule="auto"/>
        <w:ind w:left="440"/>
        <w:rPr>
          <w:sz w:val="24"/>
          <w:lang w:eastAsia="zh-CN"/>
        </w:rPr>
      </w:pPr>
    </w:p>
    <w:p>
      <w:pPr>
        <w:pStyle w:val="15"/>
        <w:spacing w:line="360" w:lineRule="auto"/>
        <w:ind w:left="440"/>
        <w:jc w:val="right"/>
        <w:rPr>
          <w:sz w:val="24"/>
          <w:lang w:eastAsia="zh-CN"/>
        </w:rPr>
      </w:pPr>
      <w:r>
        <w:rPr>
          <w:rFonts w:hint="eastAsia"/>
          <w:sz w:val="24"/>
          <w:lang w:eastAsia="zh-CN"/>
        </w:rPr>
        <w:t>比选申请人名称：</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(盖章)</w:t>
      </w:r>
    </w:p>
    <w:p>
      <w:pPr>
        <w:pStyle w:val="15"/>
        <w:spacing w:line="360" w:lineRule="auto"/>
        <w:ind w:left="440" w:right="480"/>
        <w:jc w:val="right"/>
        <w:rPr>
          <w:sz w:val="24"/>
          <w:lang w:eastAsia="zh-CN"/>
        </w:rPr>
      </w:pPr>
      <w:r>
        <w:rPr>
          <w:rFonts w:hint="eastAsia"/>
          <w:sz w:val="24"/>
          <w:lang w:eastAsia="zh-CN"/>
        </w:rPr>
        <w:t>法定代表人或委托代理人：</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(签字)</w:t>
      </w:r>
    </w:p>
    <w:p>
      <w:pPr>
        <w:pStyle w:val="15"/>
        <w:spacing w:line="360" w:lineRule="auto"/>
        <w:ind w:left="0" w:leftChars="0" w:right="960"/>
        <w:jc w:val="right"/>
        <w:rPr>
          <w:sz w:val="24"/>
          <w:lang w:eastAsia="zh-CN"/>
        </w:rPr>
      </w:pPr>
      <w:r>
        <w:rPr>
          <w:rFonts w:hint="eastAsia"/>
          <w:sz w:val="24"/>
          <w:szCs w:val="24"/>
          <w:lang w:eastAsia="zh-CN"/>
        </w:rPr>
        <w:t>日      期：</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 xml:space="preserve">月 </w:t>
      </w:r>
      <w:r>
        <w:rPr>
          <w:rFonts w:hint="eastAsia"/>
          <w:sz w:val="24"/>
          <w:szCs w:val="24"/>
          <w:u w:val="single"/>
          <w:lang w:eastAsia="zh-CN"/>
        </w:rPr>
        <w:t xml:space="preserve">        </w:t>
      </w:r>
      <w:r>
        <w:rPr>
          <w:rFonts w:hint="eastAsia"/>
          <w:sz w:val="24"/>
          <w:szCs w:val="24"/>
          <w:lang w:eastAsia="zh-CN"/>
        </w:rPr>
        <w:t>日</w:t>
      </w:r>
    </w:p>
    <w:p>
      <w:pPr>
        <w:spacing w:line="360" w:lineRule="auto"/>
        <w:rPr>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p>
    <w:p>
      <w:pPr>
        <w:spacing w:line="360" w:lineRule="auto"/>
        <w:jc w:val="center"/>
        <w:outlineLvl w:val="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五、比选申请人基本情况表</w:t>
      </w:r>
      <w:bookmarkEnd w:id="17"/>
      <w:bookmarkEnd w:id="18"/>
      <w:bookmarkEnd w:id="19"/>
      <w:bookmarkEnd w:id="20"/>
    </w:p>
    <w:p>
      <w:pPr>
        <w:spacing w:line="360" w:lineRule="auto"/>
        <w:rPr>
          <w:rFonts w:asciiTheme="minorEastAsia" w:hAnsiTheme="minorEastAsia" w:eastAsiaTheme="minorEastAsia"/>
          <w:sz w:val="24"/>
          <w:szCs w:val="24"/>
          <w:lang w:eastAsia="zh-CN"/>
        </w:rPr>
      </w:pPr>
    </w:p>
    <w:tbl>
      <w:tblPr>
        <w:tblStyle w:val="29"/>
        <w:tblW w:w="8522"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1000"/>
        <w:gridCol w:w="1277"/>
        <w:gridCol w:w="1295"/>
        <w:gridCol w:w="7"/>
        <w:gridCol w:w="1370"/>
        <w:gridCol w:w="165"/>
        <w:gridCol w:w="777"/>
        <w:gridCol w:w="105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比选申请人名称</w:t>
            </w:r>
          </w:p>
        </w:tc>
        <w:tc>
          <w:tcPr>
            <w:tcW w:w="6944" w:type="dxa"/>
            <w:gridSpan w:val="8"/>
            <w:vAlign w:val="center"/>
          </w:tcPr>
          <w:p>
            <w:pPr>
              <w:adjustRightInd w:val="0"/>
              <w:spacing w:line="360" w:lineRule="auto"/>
              <w:jc w:val="center"/>
              <w:rPr>
                <w:rFonts w:asciiTheme="minorEastAsia" w:hAnsiTheme="minorEastAsia" w:eastAsia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注册地址</w:t>
            </w:r>
          </w:p>
        </w:tc>
        <w:tc>
          <w:tcPr>
            <w:tcW w:w="3579" w:type="dxa"/>
            <w:gridSpan w:val="4"/>
            <w:vAlign w:val="center"/>
          </w:tcPr>
          <w:p>
            <w:pPr>
              <w:adjustRightInd w:val="0"/>
              <w:spacing w:line="360" w:lineRule="auto"/>
              <w:jc w:val="center"/>
              <w:rPr>
                <w:rFonts w:asciiTheme="minorEastAsia" w:hAnsiTheme="minorEastAsia" w:eastAsiaTheme="minorEastAsia"/>
                <w:sz w:val="24"/>
                <w:szCs w:val="24"/>
              </w:rPr>
            </w:pPr>
          </w:p>
        </w:tc>
        <w:tc>
          <w:tcPr>
            <w:tcW w:w="1370"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邮政编码</w:t>
            </w:r>
          </w:p>
        </w:tc>
        <w:tc>
          <w:tcPr>
            <w:tcW w:w="1995" w:type="dxa"/>
            <w:gridSpan w:val="3"/>
            <w:vAlign w:val="center"/>
          </w:tcPr>
          <w:p>
            <w:pPr>
              <w:adjustRightInd w:val="0"/>
              <w:spacing w:line="360" w:lineRule="auto"/>
              <w:jc w:val="center"/>
              <w:rPr>
                <w:rFonts w:asciiTheme="minorEastAsia" w:hAnsiTheme="minorEastAsia" w:eastAsia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Merge w:val="restart"/>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联系方式</w:t>
            </w:r>
          </w:p>
        </w:tc>
        <w:tc>
          <w:tcPr>
            <w:tcW w:w="1000"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572" w:type="dxa"/>
            <w:gridSpan w:val="2"/>
            <w:vAlign w:val="center"/>
          </w:tcPr>
          <w:p>
            <w:pPr>
              <w:adjustRightInd w:val="0"/>
              <w:spacing w:line="360" w:lineRule="auto"/>
              <w:jc w:val="center"/>
              <w:rPr>
                <w:rFonts w:asciiTheme="minorEastAsia" w:hAnsiTheme="minorEastAsia" w:eastAsiaTheme="minorEastAsia"/>
                <w:sz w:val="24"/>
                <w:szCs w:val="24"/>
              </w:rPr>
            </w:pPr>
          </w:p>
        </w:tc>
        <w:tc>
          <w:tcPr>
            <w:tcW w:w="1377" w:type="dxa"/>
            <w:gridSpan w:val="2"/>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1995" w:type="dxa"/>
            <w:gridSpan w:val="3"/>
            <w:vAlign w:val="center"/>
          </w:tcPr>
          <w:p>
            <w:pPr>
              <w:adjustRightInd w:val="0"/>
              <w:spacing w:line="360" w:lineRule="auto"/>
              <w:jc w:val="center"/>
              <w:rPr>
                <w:rFonts w:asciiTheme="minorEastAsia" w:hAnsiTheme="minorEastAsia" w:eastAsia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trPr>
        <w:tc>
          <w:tcPr>
            <w:tcW w:w="1578" w:type="dxa"/>
            <w:vMerge w:val="continue"/>
            <w:vAlign w:val="center"/>
          </w:tcPr>
          <w:p>
            <w:pPr>
              <w:adjustRightInd w:val="0"/>
              <w:spacing w:line="360" w:lineRule="auto"/>
              <w:jc w:val="center"/>
              <w:rPr>
                <w:rFonts w:asciiTheme="minorEastAsia" w:hAnsiTheme="minorEastAsia" w:eastAsiaTheme="minorEastAsia"/>
                <w:sz w:val="24"/>
                <w:szCs w:val="24"/>
              </w:rPr>
            </w:pPr>
          </w:p>
        </w:tc>
        <w:tc>
          <w:tcPr>
            <w:tcW w:w="1000"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2572" w:type="dxa"/>
            <w:gridSpan w:val="2"/>
            <w:vAlign w:val="center"/>
          </w:tcPr>
          <w:p>
            <w:pPr>
              <w:adjustRightInd w:val="0"/>
              <w:spacing w:line="360" w:lineRule="auto"/>
              <w:jc w:val="center"/>
              <w:rPr>
                <w:rFonts w:asciiTheme="minorEastAsia" w:hAnsiTheme="minorEastAsia" w:eastAsiaTheme="minorEastAsia"/>
                <w:sz w:val="24"/>
                <w:szCs w:val="24"/>
              </w:rPr>
            </w:pPr>
          </w:p>
        </w:tc>
        <w:tc>
          <w:tcPr>
            <w:tcW w:w="1377" w:type="dxa"/>
            <w:gridSpan w:val="2"/>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网址</w:t>
            </w:r>
          </w:p>
        </w:tc>
        <w:tc>
          <w:tcPr>
            <w:tcW w:w="1995" w:type="dxa"/>
            <w:gridSpan w:val="3"/>
            <w:vAlign w:val="center"/>
          </w:tcPr>
          <w:p>
            <w:pPr>
              <w:adjustRightInd w:val="0"/>
              <w:spacing w:line="360" w:lineRule="auto"/>
              <w:jc w:val="center"/>
              <w:rPr>
                <w:rFonts w:asciiTheme="minorEastAsia" w:hAnsiTheme="minorEastAsia" w:eastAsia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组织结构</w:t>
            </w:r>
          </w:p>
        </w:tc>
        <w:tc>
          <w:tcPr>
            <w:tcW w:w="6944" w:type="dxa"/>
            <w:gridSpan w:val="8"/>
            <w:vAlign w:val="center"/>
          </w:tcPr>
          <w:p>
            <w:pPr>
              <w:adjustRightInd w:val="0"/>
              <w:spacing w:line="360" w:lineRule="auto"/>
              <w:jc w:val="center"/>
              <w:rPr>
                <w:rFonts w:asciiTheme="minorEastAsia" w:hAnsiTheme="minorEastAsia" w:eastAsiaTheme="minorEastAsia"/>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tc>
        <w:tc>
          <w:tcPr>
            <w:tcW w:w="1000"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277" w:type="dxa"/>
            <w:vAlign w:val="center"/>
          </w:tcPr>
          <w:p>
            <w:pPr>
              <w:adjustRightInd w:val="0"/>
              <w:spacing w:line="360" w:lineRule="auto"/>
              <w:jc w:val="center"/>
              <w:rPr>
                <w:rFonts w:asciiTheme="minorEastAsia" w:hAnsiTheme="minorEastAsia" w:eastAsiaTheme="minorEastAsia"/>
                <w:sz w:val="24"/>
                <w:szCs w:val="24"/>
              </w:rPr>
            </w:pPr>
          </w:p>
        </w:tc>
        <w:tc>
          <w:tcPr>
            <w:tcW w:w="1295"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技术职称</w:t>
            </w:r>
          </w:p>
        </w:tc>
        <w:tc>
          <w:tcPr>
            <w:tcW w:w="1377" w:type="dxa"/>
            <w:gridSpan w:val="2"/>
            <w:vAlign w:val="center"/>
          </w:tcPr>
          <w:p>
            <w:pPr>
              <w:adjustRightInd w:val="0"/>
              <w:spacing w:line="360" w:lineRule="auto"/>
              <w:jc w:val="center"/>
              <w:rPr>
                <w:rFonts w:asciiTheme="minorEastAsia" w:hAnsiTheme="minorEastAsia" w:eastAsiaTheme="minorEastAsia"/>
                <w:sz w:val="24"/>
                <w:szCs w:val="24"/>
              </w:rPr>
            </w:pPr>
          </w:p>
        </w:tc>
        <w:tc>
          <w:tcPr>
            <w:tcW w:w="942" w:type="dxa"/>
            <w:gridSpan w:val="2"/>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1053" w:type="dxa"/>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技术负责人</w:t>
            </w:r>
          </w:p>
        </w:tc>
        <w:tc>
          <w:tcPr>
            <w:tcW w:w="1000"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277" w:type="dxa"/>
            <w:vAlign w:val="center"/>
          </w:tcPr>
          <w:p>
            <w:pPr>
              <w:adjustRightInd w:val="0"/>
              <w:spacing w:line="360" w:lineRule="auto"/>
              <w:jc w:val="center"/>
              <w:rPr>
                <w:rFonts w:asciiTheme="minorEastAsia" w:hAnsiTheme="minorEastAsia" w:eastAsiaTheme="minorEastAsia"/>
                <w:sz w:val="24"/>
                <w:szCs w:val="24"/>
              </w:rPr>
            </w:pPr>
          </w:p>
        </w:tc>
        <w:tc>
          <w:tcPr>
            <w:tcW w:w="1295"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技术职称</w:t>
            </w:r>
          </w:p>
        </w:tc>
        <w:tc>
          <w:tcPr>
            <w:tcW w:w="1377" w:type="dxa"/>
            <w:gridSpan w:val="2"/>
            <w:vAlign w:val="center"/>
          </w:tcPr>
          <w:p>
            <w:pPr>
              <w:adjustRightInd w:val="0"/>
              <w:spacing w:line="360" w:lineRule="auto"/>
              <w:jc w:val="center"/>
              <w:rPr>
                <w:rFonts w:asciiTheme="minorEastAsia" w:hAnsiTheme="minorEastAsia" w:eastAsiaTheme="minorEastAsia"/>
                <w:sz w:val="24"/>
                <w:szCs w:val="24"/>
              </w:rPr>
            </w:pPr>
          </w:p>
        </w:tc>
        <w:tc>
          <w:tcPr>
            <w:tcW w:w="942" w:type="dxa"/>
            <w:gridSpan w:val="2"/>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1053" w:type="dxa"/>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成立时间</w:t>
            </w:r>
          </w:p>
        </w:tc>
        <w:tc>
          <w:tcPr>
            <w:tcW w:w="2277" w:type="dxa"/>
            <w:gridSpan w:val="2"/>
            <w:vAlign w:val="center"/>
          </w:tcPr>
          <w:p>
            <w:pPr>
              <w:adjustRightInd w:val="0"/>
              <w:spacing w:line="360" w:lineRule="auto"/>
              <w:jc w:val="center"/>
              <w:rPr>
                <w:rFonts w:asciiTheme="minorEastAsia" w:hAnsiTheme="minorEastAsia" w:eastAsiaTheme="minorEastAsia"/>
                <w:sz w:val="24"/>
                <w:szCs w:val="24"/>
              </w:rPr>
            </w:pPr>
          </w:p>
        </w:tc>
        <w:tc>
          <w:tcPr>
            <w:tcW w:w="4667" w:type="dxa"/>
            <w:gridSpan w:val="6"/>
            <w:vAlign w:val="center"/>
          </w:tcPr>
          <w:p>
            <w:pPr>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员工总人数：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企业资质等级</w:t>
            </w:r>
          </w:p>
        </w:tc>
        <w:tc>
          <w:tcPr>
            <w:tcW w:w="2277" w:type="dxa"/>
            <w:gridSpan w:val="2"/>
            <w:vAlign w:val="center"/>
          </w:tcPr>
          <w:p>
            <w:pPr>
              <w:adjustRightInd w:val="0"/>
              <w:spacing w:line="360" w:lineRule="auto"/>
              <w:jc w:val="center"/>
              <w:rPr>
                <w:rFonts w:asciiTheme="minorEastAsia" w:hAnsiTheme="minorEastAsia" w:eastAsiaTheme="minorEastAsia"/>
                <w:sz w:val="24"/>
                <w:szCs w:val="24"/>
              </w:rPr>
            </w:pPr>
          </w:p>
        </w:tc>
        <w:tc>
          <w:tcPr>
            <w:tcW w:w="1295" w:type="dxa"/>
            <w:vMerge w:val="restart"/>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w:t>
            </w:r>
          </w:p>
        </w:tc>
        <w:tc>
          <w:tcPr>
            <w:tcW w:w="1542" w:type="dxa"/>
            <w:gridSpan w:val="3"/>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项目经理</w:t>
            </w:r>
          </w:p>
        </w:tc>
        <w:tc>
          <w:tcPr>
            <w:tcW w:w="1830" w:type="dxa"/>
            <w:gridSpan w:val="2"/>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营业执照号</w:t>
            </w:r>
          </w:p>
        </w:tc>
        <w:tc>
          <w:tcPr>
            <w:tcW w:w="2277" w:type="dxa"/>
            <w:gridSpan w:val="2"/>
            <w:vAlign w:val="center"/>
          </w:tcPr>
          <w:p>
            <w:pPr>
              <w:adjustRightInd w:val="0"/>
              <w:spacing w:line="360" w:lineRule="auto"/>
              <w:jc w:val="center"/>
              <w:rPr>
                <w:rFonts w:asciiTheme="minorEastAsia" w:hAnsiTheme="minorEastAsia" w:eastAsiaTheme="minorEastAsia"/>
                <w:sz w:val="24"/>
                <w:szCs w:val="24"/>
              </w:rPr>
            </w:pPr>
          </w:p>
        </w:tc>
        <w:tc>
          <w:tcPr>
            <w:tcW w:w="1295" w:type="dxa"/>
            <w:vMerge w:val="continue"/>
            <w:vAlign w:val="center"/>
          </w:tcPr>
          <w:p>
            <w:pPr>
              <w:adjustRightInd w:val="0"/>
              <w:spacing w:line="360" w:lineRule="auto"/>
              <w:jc w:val="center"/>
              <w:rPr>
                <w:rFonts w:asciiTheme="minorEastAsia" w:hAnsiTheme="minorEastAsia" w:eastAsiaTheme="minorEastAsia"/>
                <w:sz w:val="24"/>
                <w:szCs w:val="24"/>
              </w:rPr>
            </w:pPr>
          </w:p>
        </w:tc>
        <w:tc>
          <w:tcPr>
            <w:tcW w:w="1542" w:type="dxa"/>
            <w:gridSpan w:val="3"/>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高级职称人员</w:t>
            </w:r>
          </w:p>
        </w:tc>
        <w:tc>
          <w:tcPr>
            <w:tcW w:w="1830" w:type="dxa"/>
            <w:gridSpan w:val="2"/>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注册资金</w:t>
            </w:r>
          </w:p>
        </w:tc>
        <w:tc>
          <w:tcPr>
            <w:tcW w:w="2277" w:type="dxa"/>
            <w:gridSpan w:val="2"/>
            <w:vAlign w:val="center"/>
          </w:tcPr>
          <w:p>
            <w:pPr>
              <w:adjustRightInd w:val="0"/>
              <w:spacing w:line="360" w:lineRule="auto"/>
              <w:jc w:val="center"/>
              <w:rPr>
                <w:rFonts w:asciiTheme="minorEastAsia" w:hAnsiTheme="minorEastAsia" w:eastAsiaTheme="minorEastAsia"/>
                <w:sz w:val="24"/>
                <w:szCs w:val="24"/>
              </w:rPr>
            </w:pPr>
          </w:p>
        </w:tc>
        <w:tc>
          <w:tcPr>
            <w:tcW w:w="1295" w:type="dxa"/>
            <w:vMerge w:val="continue"/>
            <w:vAlign w:val="center"/>
          </w:tcPr>
          <w:p>
            <w:pPr>
              <w:adjustRightInd w:val="0"/>
              <w:spacing w:line="360" w:lineRule="auto"/>
              <w:jc w:val="center"/>
              <w:rPr>
                <w:rFonts w:asciiTheme="minorEastAsia" w:hAnsiTheme="minorEastAsia" w:eastAsiaTheme="minorEastAsia"/>
                <w:sz w:val="24"/>
                <w:szCs w:val="24"/>
              </w:rPr>
            </w:pPr>
          </w:p>
        </w:tc>
        <w:tc>
          <w:tcPr>
            <w:tcW w:w="1542" w:type="dxa"/>
            <w:gridSpan w:val="3"/>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中级职称人员</w:t>
            </w:r>
          </w:p>
        </w:tc>
        <w:tc>
          <w:tcPr>
            <w:tcW w:w="1830" w:type="dxa"/>
            <w:gridSpan w:val="2"/>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tc>
        <w:tc>
          <w:tcPr>
            <w:tcW w:w="2277" w:type="dxa"/>
            <w:gridSpan w:val="2"/>
            <w:vAlign w:val="center"/>
          </w:tcPr>
          <w:p>
            <w:pPr>
              <w:adjustRightInd w:val="0"/>
              <w:spacing w:line="360" w:lineRule="auto"/>
              <w:jc w:val="center"/>
              <w:rPr>
                <w:rFonts w:asciiTheme="minorEastAsia" w:hAnsiTheme="minorEastAsia" w:eastAsiaTheme="minorEastAsia"/>
                <w:sz w:val="24"/>
                <w:szCs w:val="24"/>
              </w:rPr>
            </w:pPr>
          </w:p>
        </w:tc>
        <w:tc>
          <w:tcPr>
            <w:tcW w:w="1295" w:type="dxa"/>
            <w:vMerge w:val="continue"/>
            <w:vAlign w:val="center"/>
          </w:tcPr>
          <w:p>
            <w:pPr>
              <w:adjustRightInd w:val="0"/>
              <w:spacing w:line="360" w:lineRule="auto"/>
              <w:jc w:val="center"/>
              <w:rPr>
                <w:rFonts w:asciiTheme="minorEastAsia" w:hAnsiTheme="minorEastAsia" w:eastAsiaTheme="minorEastAsia"/>
                <w:sz w:val="24"/>
                <w:szCs w:val="24"/>
              </w:rPr>
            </w:pPr>
          </w:p>
        </w:tc>
        <w:tc>
          <w:tcPr>
            <w:tcW w:w="1542" w:type="dxa"/>
            <w:gridSpan w:val="3"/>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初级职称人员</w:t>
            </w:r>
          </w:p>
        </w:tc>
        <w:tc>
          <w:tcPr>
            <w:tcW w:w="1830" w:type="dxa"/>
            <w:gridSpan w:val="2"/>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账号</w:t>
            </w:r>
          </w:p>
        </w:tc>
        <w:tc>
          <w:tcPr>
            <w:tcW w:w="2277" w:type="dxa"/>
            <w:gridSpan w:val="2"/>
            <w:vAlign w:val="center"/>
          </w:tcPr>
          <w:p>
            <w:pPr>
              <w:adjustRightInd w:val="0"/>
              <w:spacing w:line="360" w:lineRule="auto"/>
              <w:jc w:val="center"/>
              <w:rPr>
                <w:rFonts w:asciiTheme="minorEastAsia" w:hAnsiTheme="minorEastAsia" w:eastAsiaTheme="minorEastAsia"/>
                <w:sz w:val="24"/>
                <w:szCs w:val="24"/>
              </w:rPr>
            </w:pPr>
          </w:p>
        </w:tc>
        <w:tc>
          <w:tcPr>
            <w:tcW w:w="1295" w:type="dxa"/>
            <w:vMerge w:val="continue"/>
            <w:vAlign w:val="center"/>
          </w:tcPr>
          <w:p>
            <w:pPr>
              <w:adjustRightInd w:val="0"/>
              <w:spacing w:line="360" w:lineRule="auto"/>
              <w:jc w:val="center"/>
              <w:rPr>
                <w:rFonts w:asciiTheme="minorEastAsia" w:hAnsiTheme="minorEastAsia" w:eastAsiaTheme="minorEastAsia"/>
                <w:sz w:val="24"/>
                <w:szCs w:val="24"/>
              </w:rPr>
            </w:pPr>
          </w:p>
        </w:tc>
        <w:tc>
          <w:tcPr>
            <w:tcW w:w="1542" w:type="dxa"/>
            <w:gridSpan w:val="3"/>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技工</w:t>
            </w:r>
          </w:p>
        </w:tc>
        <w:tc>
          <w:tcPr>
            <w:tcW w:w="1830" w:type="dxa"/>
            <w:gridSpan w:val="2"/>
            <w:vAlign w:val="center"/>
          </w:tcPr>
          <w:p>
            <w:pPr>
              <w:adjustRightInd w:val="0"/>
              <w:spacing w:line="360" w:lineRule="auto"/>
              <w:jc w:val="center"/>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44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资质等级</w:t>
            </w:r>
          </w:p>
        </w:tc>
        <w:tc>
          <w:tcPr>
            <w:tcW w:w="6944" w:type="dxa"/>
            <w:gridSpan w:val="8"/>
            <w:vAlign w:val="center"/>
          </w:tcPr>
          <w:p>
            <w:pPr>
              <w:adjustRightInd w:val="0"/>
              <w:spacing w:line="360" w:lineRule="auto"/>
              <w:rPr>
                <w:rFonts w:asciiTheme="minorEastAsia" w:hAnsiTheme="minorEastAsia" w:eastAsiaTheme="minorEastAsia"/>
                <w:b/>
                <w:bCs/>
                <w:sz w:val="24"/>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072" w:hRule="atLeast"/>
        </w:trPr>
        <w:tc>
          <w:tcPr>
            <w:tcW w:w="1578" w:type="dxa"/>
            <w:vAlign w:val="center"/>
          </w:tcPr>
          <w:p>
            <w:pPr>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6944" w:type="dxa"/>
            <w:gridSpan w:val="8"/>
          </w:tcPr>
          <w:p>
            <w:pPr>
              <w:adjustRightInd w:val="0"/>
              <w:spacing w:line="360" w:lineRule="auto"/>
              <w:rPr>
                <w:rFonts w:asciiTheme="minorEastAsia" w:hAnsiTheme="minorEastAsia" w:eastAsiaTheme="minorEastAsia"/>
                <w:sz w:val="24"/>
                <w:szCs w:val="24"/>
              </w:rPr>
            </w:pPr>
          </w:p>
        </w:tc>
      </w:tr>
    </w:tbl>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注：附营业执照副本等比选申请人资格要求材料的复印件。</w:t>
      </w: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line="360" w:lineRule="auto"/>
        <w:jc w:val="center"/>
        <w:outlineLvl w:val="0"/>
        <w:rPr>
          <w:rFonts w:asciiTheme="minorEastAsia" w:hAnsiTheme="minorEastAsia" w:eastAsiaTheme="minorEastAsia"/>
          <w:b/>
          <w:sz w:val="24"/>
          <w:szCs w:val="24"/>
          <w:lang w:eastAsia="zh-CN"/>
        </w:rPr>
      </w:pPr>
      <w:bookmarkStart w:id="21" w:name="_Toc521510895"/>
      <w:bookmarkStart w:id="22" w:name="_Toc5306"/>
      <w:bookmarkStart w:id="23" w:name="_Toc520726097"/>
      <w:bookmarkStart w:id="24" w:name="_Toc519174749"/>
      <w:bookmarkStart w:id="25" w:name="_Toc521331994"/>
      <w:r>
        <w:rPr>
          <w:rFonts w:hint="eastAsia" w:asciiTheme="minorEastAsia" w:hAnsiTheme="minorEastAsia" w:eastAsiaTheme="minorEastAsia"/>
          <w:b/>
          <w:sz w:val="24"/>
          <w:szCs w:val="24"/>
          <w:lang w:eastAsia="zh-CN"/>
        </w:rPr>
        <w:t>六、拟派主要人员情况表</w:t>
      </w:r>
      <w:bookmarkEnd w:id="21"/>
      <w:bookmarkEnd w:id="22"/>
      <w:bookmarkEnd w:id="23"/>
      <w:bookmarkEnd w:id="24"/>
      <w:bookmarkEnd w:id="25"/>
    </w:p>
    <w:p>
      <w:pPr>
        <w:spacing w:line="360" w:lineRule="auto"/>
        <w:rPr>
          <w:rFonts w:asciiTheme="minorEastAsia" w:hAnsiTheme="minorEastAsia" w:eastAsiaTheme="minorEastAsia"/>
          <w:sz w:val="24"/>
          <w:szCs w:val="24"/>
          <w:lang w:eastAsia="zh-CN"/>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61"/>
        <w:gridCol w:w="581"/>
        <w:gridCol w:w="856"/>
        <w:gridCol w:w="1079"/>
        <w:gridCol w:w="542"/>
        <w:gridCol w:w="1439"/>
        <w:gridCol w:w="177"/>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86" w:type="dxa"/>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姓名</w:t>
            </w:r>
          </w:p>
        </w:tc>
        <w:tc>
          <w:tcPr>
            <w:tcW w:w="942" w:type="dxa"/>
            <w:gridSpan w:val="2"/>
            <w:vAlign w:val="center"/>
          </w:tcPr>
          <w:p>
            <w:pPr>
              <w:spacing w:line="360" w:lineRule="auto"/>
              <w:jc w:val="center"/>
              <w:rPr>
                <w:rFonts w:asciiTheme="minorEastAsia" w:hAnsiTheme="minorEastAsia" w:eastAsiaTheme="minorEastAsia"/>
                <w:color w:val="000000"/>
                <w:sz w:val="24"/>
                <w:szCs w:val="24"/>
              </w:rPr>
            </w:pPr>
          </w:p>
        </w:tc>
        <w:tc>
          <w:tcPr>
            <w:tcW w:w="856" w:type="dxa"/>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年龄</w:t>
            </w:r>
          </w:p>
        </w:tc>
        <w:tc>
          <w:tcPr>
            <w:tcW w:w="1079" w:type="dxa"/>
            <w:vAlign w:val="center"/>
          </w:tcPr>
          <w:p>
            <w:pPr>
              <w:spacing w:line="360" w:lineRule="auto"/>
              <w:jc w:val="center"/>
              <w:rPr>
                <w:rFonts w:asciiTheme="minorEastAsia" w:hAnsiTheme="minorEastAsia" w:eastAsiaTheme="minorEastAsia"/>
                <w:color w:val="000000"/>
                <w:sz w:val="24"/>
                <w:szCs w:val="24"/>
              </w:rPr>
            </w:pPr>
          </w:p>
        </w:tc>
        <w:tc>
          <w:tcPr>
            <w:tcW w:w="2158" w:type="dxa"/>
            <w:gridSpan w:val="3"/>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学历</w:t>
            </w:r>
          </w:p>
        </w:tc>
        <w:tc>
          <w:tcPr>
            <w:tcW w:w="2301" w:type="dxa"/>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86" w:type="dxa"/>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职称</w:t>
            </w:r>
          </w:p>
        </w:tc>
        <w:tc>
          <w:tcPr>
            <w:tcW w:w="942" w:type="dxa"/>
            <w:gridSpan w:val="2"/>
            <w:vAlign w:val="center"/>
          </w:tcPr>
          <w:p>
            <w:pPr>
              <w:spacing w:line="360" w:lineRule="auto"/>
              <w:jc w:val="center"/>
              <w:rPr>
                <w:rFonts w:asciiTheme="minorEastAsia" w:hAnsiTheme="minorEastAsia" w:eastAsiaTheme="minorEastAsia"/>
                <w:color w:val="000000"/>
                <w:sz w:val="24"/>
                <w:szCs w:val="24"/>
              </w:rPr>
            </w:pPr>
          </w:p>
        </w:tc>
        <w:tc>
          <w:tcPr>
            <w:tcW w:w="856" w:type="dxa"/>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职务</w:t>
            </w:r>
          </w:p>
        </w:tc>
        <w:tc>
          <w:tcPr>
            <w:tcW w:w="1079" w:type="dxa"/>
            <w:vAlign w:val="center"/>
          </w:tcPr>
          <w:p>
            <w:pPr>
              <w:spacing w:line="360" w:lineRule="auto"/>
              <w:jc w:val="center"/>
              <w:rPr>
                <w:rFonts w:asciiTheme="minorEastAsia" w:hAnsiTheme="minorEastAsia" w:eastAsiaTheme="minorEastAsia"/>
                <w:color w:val="000000"/>
                <w:sz w:val="24"/>
                <w:szCs w:val="24"/>
              </w:rPr>
            </w:pPr>
          </w:p>
        </w:tc>
        <w:tc>
          <w:tcPr>
            <w:tcW w:w="2158" w:type="dxa"/>
            <w:gridSpan w:val="3"/>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拟在本合同任职</w:t>
            </w:r>
          </w:p>
        </w:tc>
        <w:tc>
          <w:tcPr>
            <w:tcW w:w="2301" w:type="dxa"/>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86" w:type="dxa"/>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毕业学校</w:t>
            </w:r>
          </w:p>
        </w:tc>
        <w:tc>
          <w:tcPr>
            <w:tcW w:w="7336" w:type="dxa"/>
            <w:gridSpan w:val="8"/>
            <w:vAlign w:val="center"/>
          </w:tcPr>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522" w:type="dxa"/>
            <w:gridSpan w:val="9"/>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主要工作经历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时间</w:t>
            </w: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参加过的类似项目</w:t>
            </w:r>
          </w:p>
        </w:tc>
        <w:tc>
          <w:tcPr>
            <w:tcW w:w="1439" w:type="dxa"/>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担任职务</w:t>
            </w: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47" w:type="dxa"/>
            <w:gridSpan w:val="2"/>
            <w:vAlign w:val="center"/>
          </w:tcPr>
          <w:p>
            <w:pPr>
              <w:spacing w:line="360" w:lineRule="auto"/>
              <w:jc w:val="center"/>
              <w:rPr>
                <w:rFonts w:asciiTheme="minorEastAsia" w:hAnsiTheme="minorEastAsia" w:eastAsiaTheme="minorEastAsia"/>
                <w:color w:val="000000"/>
                <w:sz w:val="24"/>
                <w:szCs w:val="24"/>
              </w:rPr>
            </w:pPr>
          </w:p>
        </w:tc>
        <w:tc>
          <w:tcPr>
            <w:tcW w:w="3058" w:type="dxa"/>
            <w:gridSpan w:val="4"/>
            <w:vAlign w:val="center"/>
          </w:tcPr>
          <w:p>
            <w:pPr>
              <w:spacing w:line="360" w:lineRule="auto"/>
              <w:jc w:val="center"/>
              <w:rPr>
                <w:rFonts w:asciiTheme="minorEastAsia" w:hAnsiTheme="minorEastAsia" w:eastAsiaTheme="minorEastAsia"/>
                <w:color w:val="000000"/>
                <w:sz w:val="24"/>
                <w:szCs w:val="24"/>
              </w:rPr>
            </w:pPr>
          </w:p>
        </w:tc>
        <w:tc>
          <w:tcPr>
            <w:tcW w:w="1439" w:type="dxa"/>
            <w:vAlign w:val="center"/>
          </w:tcPr>
          <w:p>
            <w:pPr>
              <w:spacing w:line="360" w:lineRule="auto"/>
              <w:jc w:val="center"/>
              <w:rPr>
                <w:rFonts w:asciiTheme="minorEastAsia" w:hAnsiTheme="minorEastAsia" w:eastAsiaTheme="minorEastAsia"/>
                <w:color w:val="000000"/>
                <w:sz w:val="24"/>
                <w:szCs w:val="24"/>
              </w:rPr>
            </w:pPr>
          </w:p>
        </w:tc>
        <w:tc>
          <w:tcPr>
            <w:tcW w:w="2478" w:type="dxa"/>
            <w:gridSpan w:val="2"/>
            <w:vAlign w:val="center"/>
          </w:tcPr>
          <w:p>
            <w:pPr>
              <w:spacing w:line="360" w:lineRule="auto"/>
              <w:jc w:val="center"/>
              <w:rPr>
                <w:rFonts w:asciiTheme="minorEastAsia" w:hAnsiTheme="minorEastAsia" w:eastAsiaTheme="minorEastAsia"/>
                <w:color w:val="000000"/>
                <w:sz w:val="24"/>
                <w:szCs w:val="24"/>
              </w:rPr>
            </w:pP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pPr>
        <w:spacing w:line="360" w:lineRule="auto"/>
        <w:jc w:val="center"/>
        <w:outlineLvl w:val="0"/>
        <w:rPr>
          <w:rFonts w:asciiTheme="minorEastAsia" w:hAnsiTheme="minorEastAsia" w:eastAsiaTheme="minorEastAsia"/>
          <w:b/>
          <w:sz w:val="24"/>
          <w:szCs w:val="24"/>
          <w:lang w:eastAsia="zh-CN"/>
        </w:rPr>
      </w:pPr>
      <w:bookmarkStart w:id="26" w:name="_Toc519174750"/>
      <w:bookmarkStart w:id="27" w:name="_Toc520726098"/>
      <w:bookmarkStart w:id="28" w:name="_Toc521331995"/>
      <w:bookmarkStart w:id="29" w:name="_Toc521510896"/>
      <w:r>
        <w:rPr>
          <w:rFonts w:hint="eastAsia" w:asciiTheme="minorEastAsia" w:hAnsiTheme="minorEastAsia" w:eastAsiaTheme="minorEastAsia"/>
          <w:b/>
          <w:sz w:val="24"/>
          <w:szCs w:val="24"/>
          <w:lang w:eastAsia="zh-CN"/>
        </w:rPr>
        <w:t>七、项目</w:t>
      </w:r>
      <w:bookmarkEnd w:id="26"/>
      <w:bookmarkEnd w:id="27"/>
      <w:bookmarkEnd w:id="28"/>
      <w:bookmarkEnd w:id="29"/>
      <w:r>
        <w:rPr>
          <w:rFonts w:hint="eastAsia" w:asciiTheme="minorEastAsia" w:hAnsiTheme="minorEastAsia" w:eastAsiaTheme="minorEastAsia"/>
          <w:b/>
          <w:sz w:val="24"/>
          <w:szCs w:val="24"/>
          <w:lang w:eastAsia="zh-CN"/>
        </w:rPr>
        <w:t>实施计划</w:t>
      </w:r>
    </w:p>
    <w:p>
      <w:pPr>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（比选申请人自行编制）</w:t>
      </w:r>
    </w:p>
    <w:p>
      <w:pPr>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076145"/>
      <w:docPartObj>
        <w:docPartGallery w:val="autotext"/>
      </w:docPartObj>
    </w:sdtPr>
    <w:sdtEndPr>
      <w:rPr>
        <w:rFonts w:ascii="Times New Roman" w:hAnsi="Times New Roman" w:cs="Times New Roman"/>
      </w:rPr>
    </w:sdtEndPr>
    <w:sdtContent>
      <w:p>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23</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A7"/>
    <w:rsid w:val="0002401B"/>
    <w:rsid w:val="00032650"/>
    <w:rsid w:val="00042EBB"/>
    <w:rsid w:val="00050D07"/>
    <w:rsid w:val="0006083D"/>
    <w:rsid w:val="000657AF"/>
    <w:rsid w:val="0006719B"/>
    <w:rsid w:val="000818A0"/>
    <w:rsid w:val="00081B68"/>
    <w:rsid w:val="000A0BEB"/>
    <w:rsid w:val="000A1F8E"/>
    <w:rsid w:val="000F5500"/>
    <w:rsid w:val="000F7B78"/>
    <w:rsid w:val="00116525"/>
    <w:rsid w:val="0013284E"/>
    <w:rsid w:val="00150C70"/>
    <w:rsid w:val="001722F6"/>
    <w:rsid w:val="001C71E3"/>
    <w:rsid w:val="00201DF5"/>
    <w:rsid w:val="0020382F"/>
    <w:rsid w:val="0021182B"/>
    <w:rsid w:val="002119C6"/>
    <w:rsid w:val="002173EA"/>
    <w:rsid w:val="0022014F"/>
    <w:rsid w:val="00286673"/>
    <w:rsid w:val="002B6224"/>
    <w:rsid w:val="002C4BA8"/>
    <w:rsid w:val="002D3BCF"/>
    <w:rsid w:val="002F15AD"/>
    <w:rsid w:val="002F47B1"/>
    <w:rsid w:val="00307799"/>
    <w:rsid w:val="0033044B"/>
    <w:rsid w:val="00335F45"/>
    <w:rsid w:val="00342B8F"/>
    <w:rsid w:val="00360518"/>
    <w:rsid w:val="00361742"/>
    <w:rsid w:val="00377E97"/>
    <w:rsid w:val="00390DE6"/>
    <w:rsid w:val="00391C6E"/>
    <w:rsid w:val="003C469C"/>
    <w:rsid w:val="003F4604"/>
    <w:rsid w:val="004235A7"/>
    <w:rsid w:val="00430564"/>
    <w:rsid w:val="004617E1"/>
    <w:rsid w:val="00476F35"/>
    <w:rsid w:val="004777FC"/>
    <w:rsid w:val="004C4FA9"/>
    <w:rsid w:val="00505325"/>
    <w:rsid w:val="005125CB"/>
    <w:rsid w:val="00513105"/>
    <w:rsid w:val="00525422"/>
    <w:rsid w:val="0052564C"/>
    <w:rsid w:val="00536426"/>
    <w:rsid w:val="00551CA2"/>
    <w:rsid w:val="00570CD5"/>
    <w:rsid w:val="00594E43"/>
    <w:rsid w:val="00597F08"/>
    <w:rsid w:val="005D3786"/>
    <w:rsid w:val="00612F81"/>
    <w:rsid w:val="00656CFD"/>
    <w:rsid w:val="00735762"/>
    <w:rsid w:val="00784A79"/>
    <w:rsid w:val="00786847"/>
    <w:rsid w:val="007A6117"/>
    <w:rsid w:val="007C3B21"/>
    <w:rsid w:val="007D0F2D"/>
    <w:rsid w:val="007F18BA"/>
    <w:rsid w:val="007F3770"/>
    <w:rsid w:val="008041E8"/>
    <w:rsid w:val="00816EF2"/>
    <w:rsid w:val="0082726E"/>
    <w:rsid w:val="008415CC"/>
    <w:rsid w:val="0084301D"/>
    <w:rsid w:val="00862F53"/>
    <w:rsid w:val="00864770"/>
    <w:rsid w:val="00872203"/>
    <w:rsid w:val="008802E0"/>
    <w:rsid w:val="0089071B"/>
    <w:rsid w:val="008D68FE"/>
    <w:rsid w:val="00913C02"/>
    <w:rsid w:val="00914BE9"/>
    <w:rsid w:val="00917762"/>
    <w:rsid w:val="00923C47"/>
    <w:rsid w:val="009458D3"/>
    <w:rsid w:val="00977565"/>
    <w:rsid w:val="009908D7"/>
    <w:rsid w:val="009A0992"/>
    <w:rsid w:val="009C5FEC"/>
    <w:rsid w:val="009D4A25"/>
    <w:rsid w:val="00A15C01"/>
    <w:rsid w:val="00A5781B"/>
    <w:rsid w:val="00A73479"/>
    <w:rsid w:val="00A91FFB"/>
    <w:rsid w:val="00A96AD2"/>
    <w:rsid w:val="00AE0835"/>
    <w:rsid w:val="00AE57C2"/>
    <w:rsid w:val="00AF1D5F"/>
    <w:rsid w:val="00B05843"/>
    <w:rsid w:val="00B14C4F"/>
    <w:rsid w:val="00B31871"/>
    <w:rsid w:val="00B31C53"/>
    <w:rsid w:val="00B369C4"/>
    <w:rsid w:val="00B57583"/>
    <w:rsid w:val="00B605AF"/>
    <w:rsid w:val="00B73560"/>
    <w:rsid w:val="00B945B0"/>
    <w:rsid w:val="00BB7F1D"/>
    <w:rsid w:val="00C21439"/>
    <w:rsid w:val="00C250F3"/>
    <w:rsid w:val="00C36F5F"/>
    <w:rsid w:val="00C60888"/>
    <w:rsid w:val="00C71152"/>
    <w:rsid w:val="00C96054"/>
    <w:rsid w:val="00CC1AEB"/>
    <w:rsid w:val="00D2679F"/>
    <w:rsid w:val="00D34DBA"/>
    <w:rsid w:val="00D6205C"/>
    <w:rsid w:val="00D6354E"/>
    <w:rsid w:val="00D63D58"/>
    <w:rsid w:val="00D75626"/>
    <w:rsid w:val="00D7582E"/>
    <w:rsid w:val="00D8671B"/>
    <w:rsid w:val="00D93B99"/>
    <w:rsid w:val="00DA3C58"/>
    <w:rsid w:val="00DB26FB"/>
    <w:rsid w:val="00DC2E02"/>
    <w:rsid w:val="00DD069B"/>
    <w:rsid w:val="00E02B0A"/>
    <w:rsid w:val="00E14EA5"/>
    <w:rsid w:val="00E17470"/>
    <w:rsid w:val="00E3478D"/>
    <w:rsid w:val="00E418CC"/>
    <w:rsid w:val="00E6751A"/>
    <w:rsid w:val="00E753A7"/>
    <w:rsid w:val="00E90241"/>
    <w:rsid w:val="00EC1742"/>
    <w:rsid w:val="00EC595F"/>
    <w:rsid w:val="00EE3301"/>
    <w:rsid w:val="00EE47B2"/>
    <w:rsid w:val="00F569EC"/>
    <w:rsid w:val="00F621EB"/>
    <w:rsid w:val="00F62EE5"/>
    <w:rsid w:val="00F7679C"/>
    <w:rsid w:val="00F8287A"/>
    <w:rsid w:val="00FD0D16"/>
    <w:rsid w:val="00FF24DD"/>
    <w:rsid w:val="01DD36E6"/>
    <w:rsid w:val="11F071EE"/>
    <w:rsid w:val="29CB1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autoSpaceDE/>
      <w:autoSpaceDN/>
      <w:spacing w:before="120" w:after="120" w:line="360" w:lineRule="auto"/>
      <w:jc w:val="both"/>
      <w:outlineLvl w:val="1"/>
    </w:pPr>
    <w:rPr>
      <w:rFonts w:hAnsi="Arial" w:eastAsia="仿宋_GB2312" w:cs="Arial Unicode MS"/>
      <w:b/>
      <w:kern w:val="2"/>
      <w:sz w:val="32"/>
      <w:szCs w:val="20"/>
      <w:lang w:eastAsia="zh-CN"/>
    </w:rPr>
  </w:style>
  <w:style w:type="paragraph" w:styleId="4">
    <w:name w:val="heading 3"/>
    <w:basedOn w:val="1"/>
    <w:next w:val="5"/>
    <w:link w:val="37"/>
    <w:qFormat/>
    <w:uiPriority w:val="0"/>
    <w:pPr>
      <w:keepNext/>
      <w:keepLines/>
      <w:autoSpaceDE/>
      <w:autoSpaceDN/>
      <w:spacing w:before="260" w:after="260" w:line="413" w:lineRule="auto"/>
      <w:jc w:val="both"/>
      <w:outlineLvl w:val="2"/>
    </w:pPr>
    <w:rPr>
      <w:rFonts w:ascii="Times New Roman" w:hAnsi="Times New Roman" w:cs="Times New Roman"/>
      <w:b/>
      <w:kern w:val="2"/>
      <w:sz w:val="32"/>
      <w:szCs w:val="20"/>
      <w:lang w:eastAsia="zh-CN"/>
    </w:rPr>
  </w:style>
  <w:style w:type="paragraph" w:styleId="6">
    <w:name w:val="heading 4"/>
    <w:basedOn w:val="1"/>
    <w:next w:val="1"/>
    <w:link w:val="50"/>
    <w:qFormat/>
    <w:uiPriority w:val="0"/>
    <w:pPr>
      <w:keepNext/>
      <w:keepLines/>
      <w:tabs>
        <w:tab w:val="left" w:pos="720"/>
      </w:tabs>
      <w:autoSpaceDE/>
      <w:autoSpaceDN/>
      <w:spacing w:before="120" w:after="120" w:line="360" w:lineRule="auto"/>
      <w:jc w:val="both"/>
      <w:outlineLvl w:val="3"/>
    </w:pPr>
    <w:rPr>
      <w:rFonts w:ascii="Arial" w:hAnsi="Arial" w:eastAsia="仿宋_GB2312" w:cs="Times New Roman"/>
      <w:kern w:val="2"/>
      <w:sz w:val="32"/>
      <w:szCs w:val="20"/>
      <w:lang w:eastAsia="zh-CN"/>
    </w:rPr>
  </w:style>
  <w:style w:type="paragraph" w:styleId="7">
    <w:name w:val="heading 6"/>
    <w:basedOn w:val="1"/>
    <w:next w:val="1"/>
    <w:link w:val="4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2"/>
    <w:semiHidden/>
    <w:unhideWhenUsed/>
    <w:qFormat/>
    <w:uiPriority w:val="9"/>
    <w:pPr>
      <w:keepNext/>
      <w:keepLines/>
      <w:spacing w:before="240" w:after="64" w:line="320" w:lineRule="auto"/>
      <w:outlineLvl w:val="6"/>
    </w:pPr>
    <w:rPr>
      <w:b/>
      <w:bCs/>
      <w:sz w:val="24"/>
      <w:szCs w:val="24"/>
    </w:rPr>
  </w:style>
  <w:style w:type="character" w:default="1" w:styleId="24">
    <w:name w:val="Default Paragraph Font"/>
    <w:semiHidden/>
    <w:unhideWhenUsed/>
    <w:qFormat/>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semiHidden/>
    <w:unhideWhenUsed/>
    <w:uiPriority w:val="99"/>
    <w:pPr>
      <w:ind w:firstLine="420" w:firstLineChars="200"/>
    </w:pPr>
  </w:style>
  <w:style w:type="paragraph" w:styleId="9">
    <w:name w:val="annotation subject"/>
    <w:basedOn w:val="10"/>
    <w:next w:val="10"/>
    <w:link w:val="67"/>
    <w:uiPriority w:val="0"/>
    <w:rPr>
      <w:b/>
      <w:bCs/>
    </w:rPr>
  </w:style>
  <w:style w:type="paragraph" w:styleId="10">
    <w:name w:val="annotation text"/>
    <w:basedOn w:val="1"/>
    <w:link w:val="65"/>
    <w:uiPriority w:val="0"/>
    <w:pPr>
      <w:autoSpaceDE/>
      <w:autoSpaceDN/>
    </w:pPr>
    <w:rPr>
      <w:rFonts w:ascii="Times New Roman" w:hAnsi="Times New Roman" w:cs="Times New Roman"/>
      <w:kern w:val="2"/>
      <w:sz w:val="21"/>
      <w:szCs w:val="24"/>
      <w:lang w:eastAsia="zh-CN"/>
    </w:rPr>
  </w:style>
  <w:style w:type="paragraph" w:styleId="11">
    <w:name w:val="Body Text"/>
    <w:basedOn w:val="1"/>
    <w:link w:val="33"/>
    <w:qFormat/>
    <w:uiPriority w:val="0"/>
    <w:rPr>
      <w:sz w:val="24"/>
      <w:szCs w:val="24"/>
    </w:rPr>
  </w:style>
  <w:style w:type="paragraph" w:styleId="12">
    <w:name w:val="Body Text Indent"/>
    <w:basedOn w:val="1"/>
    <w:link w:val="35"/>
    <w:unhideWhenUsed/>
    <w:uiPriority w:val="0"/>
    <w:pPr>
      <w:spacing w:after="120"/>
      <w:ind w:left="420" w:leftChars="200"/>
    </w:pPr>
  </w:style>
  <w:style w:type="paragraph" w:styleId="13">
    <w:name w:val="Plain Text"/>
    <w:basedOn w:val="1"/>
    <w:link w:val="44"/>
    <w:uiPriority w:val="0"/>
    <w:pPr>
      <w:autoSpaceDE/>
      <w:autoSpaceDN/>
      <w:jc w:val="both"/>
    </w:pPr>
    <w:rPr>
      <w:rFonts w:hAnsi="Courier New" w:cs="Times New Roman"/>
      <w:kern w:val="2"/>
      <w:sz w:val="21"/>
      <w:szCs w:val="20"/>
      <w:lang w:eastAsia="zh-CN"/>
    </w:rPr>
  </w:style>
  <w:style w:type="paragraph" w:styleId="14">
    <w:name w:val="Date"/>
    <w:basedOn w:val="1"/>
    <w:next w:val="1"/>
    <w:link w:val="34"/>
    <w:unhideWhenUsed/>
    <w:uiPriority w:val="0"/>
    <w:pPr>
      <w:ind w:left="100" w:leftChars="2500"/>
    </w:pPr>
  </w:style>
  <w:style w:type="paragraph" w:styleId="15">
    <w:name w:val="Body Text Indent 2"/>
    <w:basedOn w:val="1"/>
    <w:link w:val="36"/>
    <w:unhideWhenUsed/>
    <w:uiPriority w:val="0"/>
    <w:pPr>
      <w:spacing w:after="120" w:line="480" w:lineRule="auto"/>
      <w:ind w:left="420" w:leftChars="200"/>
    </w:pPr>
  </w:style>
  <w:style w:type="paragraph" w:styleId="16">
    <w:name w:val="Balloon Text"/>
    <w:basedOn w:val="1"/>
    <w:link w:val="40"/>
    <w:unhideWhenUsed/>
    <w:uiPriority w:val="0"/>
    <w:rPr>
      <w:sz w:val="18"/>
      <w:szCs w:val="18"/>
    </w:rPr>
  </w:style>
  <w:style w:type="paragraph" w:styleId="17">
    <w:name w:val="footer"/>
    <w:basedOn w:val="1"/>
    <w:link w:val="32"/>
    <w:unhideWhenUsed/>
    <w:uiPriority w:val="0"/>
    <w:pPr>
      <w:tabs>
        <w:tab w:val="center" w:pos="4153"/>
        <w:tab w:val="right" w:pos="8306"/>
      </w:tabs>
      <w:snapToGrid w:val="0"/>
    </w:pPr>
    <w:rPr>
      <w:sz w:val="18"/>
      <w:szCs w:val="18"/>
    </w:rPr>
  </w:style>
  <w:style w:type="paragraph" w:styleId="18">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style>
  <w:style w:type="paragraph" w:styleId="20">
    <w:name w:val="footnote text"/>
    <w:basedOn w:val="1"/>
    <w:link w:val="62"/>
    <w:uiPriority w:val="0"/>
    <w:pPr>
      <w:autoSpaceDE/>
      <w:autoSpaceDN/>
      <w:snapToGrid w:val="0"/>
    </w:pPr>
    <w:rPr>
      <w:rFonts w:ascii="楷体_GB2312" w:hAnsi="华文楷体" w:eastAsia="楷体_GB2312" w:cs="Times New Roman"/>
      <w:bCs/>
      <w:kern w:val="2"/>
      <w:sz w:val="21"/>
      <w:szCs w:val="18"/>
      <w:lang w:eastAsia="zh-CN"/>
    </w:rPr>
  </w:style>
  <w:style w:type="paragraph" w:styleId="21">
    <w:name w:val="Body Text Indent 3"/>
    <w:basedOn w:val="1"/>
    <w:link w:val="57"/>
    <w:uiPriority w:val="0"/>
    <w:pPr>
      <w:autoSpaceDE/>
      <w:autoSpaceDN/>
      <w:spacing w:line="580" w:lineRule="exact"/>
      <w:ind w:firstLine="640" w:firstLineChars="200"/>
      <w:jc w:val="both"/>
    </w:pPr>
    <w:rPr>
      <w:rFonts w:ascii="仿宋_GB2312" w:hAnsi="Times New Roman" w:eastAsia="仿宋_GB2312" w:cs="Times New Roman"/>
      <w:color w:val="0000FF"/>
      <w:kern w:val="2"/>
      <w:sz w:val="32"/>
      <w:szCs w:val="24"/>
      <w:lang w:eastAsia="zh-CN"/>
    </w:rPr>
  </w:style>
  <w:style w:type="paragraph" w:styleId="22">
    <w:name w:val="Body Text 2"/>
    <w:basedOn w:val="1"/>
    <w:link w:val="55"/>
    <w:uiPriority w:val="0"/>
    <w:pPr>
      <w:autoSpaceDE/>
      <w:autoSpaceDN/>
      <w:spacing w:line="580" w:lineRule="exact"/>
      <w:jc w:val="center"/>
    </w:pPr>
    <w:rPr>
      <w:rFonts w:ascii="黑体" w:eastAsia="黑体" w:cs="Times New Roman"/>
      <w:b/>
      <w:bCs/>
      <w:kern w:val="2"/>
      <w:sz w:val="44"/>
      <w:szCs w:val="24"/>
      <w:lang w:eastAsia="zh-CN"/>
    </w:rPr>
  </w:style>
  <w:style w:type="paragraph" w:styleId="23">
    <w:name w:val="Title"/>
    <w:basedOn w:val="1"/>
    <w:next w:val="1"/>
    <w:link w:val="71"/>
    <w:qFormat/>
    <w:uiPriority w:val="0"/>
    <w:pPr>
      <w:autoSpaceDE/>
      <w:autoSpaceDN/>
      <w:spacing w:before="240" w:after="60"/>
      <w:jc w:val="center"/>
      <w:outlineLvl w:val="0"/>
    </w:pPr>
    <w:rPr>
      <w:rFonts w:ascii="Cambria" w:hAnsi="Cambria" w:cs="Times New Roman"/>
      <w:b/>
      <w:bCs/>
      <w:kern w:val="2"/>
      <w:sz w:val="32"/>
      <w:szCs w:val="32"/>
      <w:lang w:eastAsia="zh-CN"/>
    </w:rPr>
  </w:style>
  <w:style w:type="character" w:styleId="25">
    <w:name w:val="page number"/>
    <w:basedOn w:val="24"/>
    <w:uiPriority w:val="0"/>
  </w:style>
  <w:style w:type="character" w:styleId="26">
    <w:name w:val="FollowedHyperlink"/>
    <w:basedOn w:val="24"/>
    <w:semiHidden/>
    <w:unhideWhenUsed/>
    <w:uiPriority w:val="99"/>
    <w:rPr>
      <w:color w:val="800080" w:themeColor="followedHyperlink"/>
      <w:u w:val="single"/>
      <w14:textFill>
        <w14:solidFill>
          <w14:schemeClr w14:val="folHlink"/>
        </w14:solidFill>
      </w14:textFill>
    </w:rPr>
  </w:style>
  <w:style w:type="character" w:styleId="27">
    <w:name w:val="Hyperlink"/>
    <w:basedOn w:val="24"/>
    <w:unhideWhenUsed/>
    <w:uiPriority w:val="99"/>
    <w:rPr>
      <w:color w:val="0000FF" w:themeColor="hyperlink"/>
      <w:u w:val="single"/>
      <w14:textFill>
        <w14:solidFill>
          <w14:schemeClr w14:val="hlink"/>
        </w14:solidFill>
      </w14:textFill>
    </w:rPr>
  </w:style>
  <w:style w:type="character" w:styleId="28">
    <w:name w:val="annotation reference"/>
    <w:uiPriority w:val="0"/>
    <w:rPr>
      <w:sz w:val="21"/>
      <w:szCs w:val="21"/>
    </w:rPr>
  </w:style>
  <w:style w:type="table" w:styleId="30">
    <w:name w:val="Table Grid"/>
    <w:basedOn w:val="29"/>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1">
    <w:name w:val="页眉 字符"/>
    <w:basedOn w:val="24"/>
    <w:link w:val="18"/>
    <w:uiPriority w:val="99"/>
    <w:rPr>
      <w:sz w:val="18"/>
      <w:szCs w:val="18"/>
    </w:rPr>
  </w:style>
  <w:style w:type="character" w:customStyle="1" w:styleId="32">
    <w:name w:val="页脚 字符"/>
    <w:basedOn w:val="24"/>
    <w:link w:val="17"/>
    <w:uiPriority w:val="99"/>
    <w:rPr>
      <w:sz w:val="18"/>
      <w:szCs w:val="18"/>
    </w:rPr>
  </w:style>
  <w:style w:type="character" w:customStyle="1" w:styleId="33">
    <w:name w:val="正文文本 字符"/>
    <w:basedOn w:val="24"/>
    <w:link w:val="11"/>
    <w:uiPriority w:val="1"/>
    <w:rPr>
      <w:rFonts w:ascii="宋体" w:hAnsi="宋体" w:eastAsia="宋体" w:cs="宋体"/>
      <w:kern w:val="0"/>
      <w:sz w:val="24"/>
      <w:szCs w:val="24"/>
      <w:lang w:eastAsia="en-US"/>
    </w:rPr>
  </w:style>
  <w:style w:type="character" w:customStyle="1" w:styleId="34">
    <w:name w:val="日期 字符"/>
    <w:basedOn w:val="24"/>
    <w:link w:val="14"/>
    <w:semiHidden/>
    <w:uiPriority w:val="99"/>
    <w:rPr>
      <w:rFonts w:ascii="宋体" w:hAnsi="宋体" w:eastAsia="宋体" w:cs="宋体"/>
      <w:kern w:val="0"/>
      <w:sz w:val="22"/>
      <w:lang w:eastAsia="en-US"/>
    </w:rPr>
  </w:style>
  <w:style w:type="character" w:customStyle="1" w:styleId="35">
    <w:name w:val="正文文本缩进 字符"/>
    <w:basedOn w:val="24"/>
    <w:link w:val="12"/>
    <w:semiHidden/>
    <w:uiPriority w:val="99"/>
    <w:rPr>
      <w:rFonts w:ascii="宋体" w:hAnsi="宋体" w:eastAsia="宋体" w:cs="宋体"/>
      <w:kern w:val="0"/>
      <w:sz w:val="22"/>
      <w:lang w:eastAsia="en-US"/>
    </w:rPr>
  </w:style>
  <w:style w:type="character" w:customStyle="1" w:styleId="36">
    <w:name w:val="正文文本缩进 2 字符"/>
    <w:basedOn w:val="24"/>
    <w:link w:val="15"/>
    <w:semiHidden/>
    <w:uiPriority w:val="99"/>
    <w:rPr>
      <w:rFonts w:ascii="宋体" w:hAnsi="宋体" w:eastAsia="宋体" w:cs="宋体"/>
      <w:kern w:val="0"/>
      <w:sz w:val="22"/>
      <w:lang w:eastAsia="en-US"/>
    </w:rPr>
  </w:style>
  <w:style w:type="character" w:customStyle="1" w:styleId="37">
    <w:name w:val="标题 3 字符"/>
    <w:basedOn w:val="24"/>
    <w:link w:val="4"/>
    <w:uiPriority w:val="0"/>
    <w:rPr>
      <w:rFonts w:ascii="Times New Roman" w:hAnsi="Times New Roman" w:eastAsia="宋体" w:cs="Times New Roman"/>
      <w:b/>
      <w:sz w:val="32"/>
      <w:szCs w:val="20"/>
    </w:rPr>
  </w:style>
  <w:style w:type="character" w:customStyle="1" w:styleId="38">
    <w:name w:val="标题 1 字符"/>
    <w:basedOn w:val="24"/>
    <w:link w:val="2"/>
    <w:uiPriority w:val="9"/>
    <w:rPr>
      <w:rFonts w:ascii="宋体" w:hAnsi="宋体" w:eastAsia="宋体" w:cs="宋体"/>
      <w:b/>
      <w:bCs/>
      <w:kern w:val="44"/>
      <w:sz w:val="44"/>
      <w:szCs w:val="44"/>
      <w:lang w:eastAsia="en-US"/>
    </w:rPr>
  </w:style>
  <w:style w:type="paragraph" w:customStyle="1" w:styleId="39">
    <w:name w:val="TOC Heading"/>
    <w:basedOn w:val="2"/>
    <w:next w:val="1"/>
    <w:semiHidden/>
    <w:unhideWhenUsed/>
    <w:qFormat/>
    <w:uiPriority w:val="39"/>
    <w:pPr>
      <w:widowControl/>
      <w:autoSpaceDE/>
      <w:autoSpaceDN/>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40">
    <w:name w:val="批注框文本 字符"/>
    <w:basedOn w:val="24"/>
    <w:link w:val="16"/>
    <w:semiHidden/>
    <w:uiPriority w:val="99"/>
    <w:rPr>
      <w:rFonts w:ascii="宋体" w:hAnsi="宋体" w:eastAsia="宋体" w:cs="宋体"/>
      <w:kern w:val="0"/>
      <w:sz w:val="18"/>
      <w:szCs w:val="18"/>
      <w:lang w:eastAsia="en-US"/>
    </w:rPr>
  </w:style>
  <w:style w:type="character" w:customStyle="1" w:styleId="41">
    <w:name w:val="标题 6 字符"/>
    <w:basedOn w:val="24"/>
    <w:link w:val="7"/>
    <w:semiHidden/>
    <w:uiPriority w:val="9"/>
    <w:rPr>
      <w:rFonts w:asciiTheme="majorHAnsi" w:hAnsiTheme="majorHAnsi" w:eastAsiaTheme="majorEastAsia" w:cstheme="majorBidi"/>
      <w:b/>
      <w:bCs/>
      <w:kern w:val="0"/>
      <w:sz w:val="24"/>
      <w:szCs w:val="24"/>
      <w:lang w:eastAsia="en-US"/>
    </w:rPr>
  </w:style>
  <w:style w:type="character" w:customStyle="1" w:styleId="42">
    <w:name w:val="标题 7 字符"/>
    <w:basedOn w:val="24"/>
    <w:link w:val="8"/>
    <w:semiHidden/>
    <w:uiPriority w:val="9"/>
    <w:rPr>
      <w:rFonts w:ascii="宋体" w:hAnsi="宋体" w:eastAsia="宋体" w:cs="宋体"/>
      <w:b/>
      <w:bCs/>
      <w:kern w:val="0"/>
      <w:sz w:val="24"/>
      <w:szCs w:val="24"/>
      <w:lang w:eastAsia="en-US"/>
    </w:rPr>
  </w:style>
  <w:style w:type="character" w:customStyle="1" w:styleId="43">
    <w:name w:val="纯文本 字符"/>
    <w:basedOn w:val="24"/>
    <w:semiHidden/>
    <w:uiPriority w:val="99"/>
    <w:rPr>
      <w:rFonts w:hAnsi="Courier New" w:cs="Courier New" w:asciiTheme="minorEastAsia"/>
      <w:kern w:val="0"/>
      <w:sz w:val="22"/>
      <w:lang w:eastAsia="en-US"/>
    </w:rPr>
  </w:style>
  <w:style w:type="character" w:customStyle="1" w:styleId="44">
    <w:name w:val="纯文本 字符1"/>
    <w:link w:val="13"/>
    <w:uiPriority w:val="0"/>
    <w:rPr>
      <w:rFonts w:ascii="宋体" w:hAnsi="Courier New" w:eastAsia="宋体" w:cs="Times New Roman"/>
      <w:szCs w:val="20"/>
    </w:rPr>
  </w:style>
  <w:style w:type="character" w:customStyle="1" w:styleId="45">
    <w:name w:val="标题 2 字符"/>
    <w:basedOn w:val="24"/>
    <w:semiHidden/>
    <w:uiPriority w:val="9"/>
    <w:rPr>
      <w:rFonts w:asciiTheme="majorHAnsi" w:hAnsiTheme="majorHAnsi" w:eastAsiaTheme="majorEastAsia" w:cstheme="majorBidi"/>
      <w:b/>
      <w:bCs/>
      <w:kern w:val="0"/>
      <w:sz w:val="32"/>
      <w:szCs w:val="32"/>
      <w:lang w:eastAsia="en-US"/>
    </w:rPr>
  </w:style>
  <w:style w:type="character" w:customStyle="1" w:styleId="46">
    <w:name w:val="标题 4 字符"/>
    <w:basedOn w:val="24"/>
    <w:semiHidden/>
    <w:uiPriority w:val="9"/>
    <w:rPr>
      <w:rFonts w:asciiTheme="majorHAnsi" w:hAnsiTheme="majorHAnsi" w:eastAsiaTheme="majorEastAsia" w:cstheme="majorBidi"/>
      <w:b/>
      <w:bCs/>
      <w:kern w:val="0"/>
      <w:sz w:val="28"/>
      <w:szCs w:val="28"/>
      <w:lang w:eastAsia="en-US"/>
    </w:rPr>
  </w:style>
  <w:style w:type="character" w:customStyle="1" w:styleId="47">
    <w:name w:val="标题 1 Char"/>
    <w:uiPriority w:val="9"/>
    <w:rPr>
      <w:b/>
      <w:bCs/>
      <w:kern w:val="36"/>
      <w:sz w:val="44"/>
      <w:szCs w:val="44"/>
    </w:rPr>
  </w:style>
  <w:style w:type="character" w:customStyle="1" w:styleId="48">
    <w:name w:val="标题 2 字符1"/>
    <w:link w:val="3"/>
    <w:uiPriority w:val="0"/>
    <w:rPr>
      <w:rFonts w:ascii="宋体" w:hAnsi="Arial" w:eastAsia="仿宋_GB2312" w:cs="Arial Unicode MS"/>
      <w:b/>
      <w:sz w:val="32"/>
      <w:szCs w:val="20"/>
    </w:rPr>
  </w:style>
  <w:style w:type="character" w:customStyle="1" w:styleId="49">
    <w:name w:val="标题 3 Char"/>
    <w:uiPriority w:val="0"/>
    <w:rPr>
      <w:rFonts w:eastAsia="仿宋_GB2312"/>
      <w:kern w:val="2"/>
      <w:sz w:val="32"/>
    </w:rPr>
  </w:style>
  <w:style w:type="character" w:customStyle="1" w:styleId="50">
    <w:name w:val="标题 4 字符1"/>
    <w:link w:val="6"/>
    <w:uiPriority w:val="0"/>
    <w:rPr>
      <w:rFonts w:ascii="Arial" w:hAnsi="Arial" w:eastAsia="仿宋_GB2312" w:cs="Times New Roman"/>
      <w:sz w:val="32"/>
      <w:szCs w:val="20"/>
    </w:rPr>
  </w:style>
  <w:style w:type="character" w:customStyle="1" w:styleId="51">
    <w:name w:val="正文文本缩进 2 Char"/>
    <w:uiPriority w:val="0"/>
    <w:rPr>
      <w:kern w:val="2"/>
      <w:sz w:val="21"/>
      <w:szCs w:val="24"/>
    </w:rPr>
  </w:style>
  <w:style w:type="character" w:customStyle="1" w:styleId="52">
    <w:name w:val="正文文本 Char"/>
    <w:uiPriority w:val="0"/>
    <w:rPr>
      <w:rFonts w:ascii="仿宋_GB2312" w:eastAsia="仿宋_GB2312"/>
      <w:kern w:val="2"/>
      <w:sz w:val="32"/>
      <w:szCs w:val="24"/>
    </w:rPr>
  </w:style>
  <w:style w:type="character" w:customStyle="1" w:styleId="53">
    <w:name w:val="正文文本缩进 Char"/>
    <w:uiPriority w:val="0"/>
    <w:rPr>
      <w:rFonts w:ascii="仿宋_GB2312" w:eastAsia="仿宋_GB2312"/>
      <w:kern w:val="2"/>
      <w:sz w:val="32"/>
      <w:szCs w:val="24"/>
    </w:rPr>
  </w:style>
  <w:style w:type="character" w:customStyle="1" w:styleId="54">
    <w:name w:val="正文文本 2 字符"/>
    <w:basedOn w:val="24"/>
    <w:semiHidden/>
    <w:uiPriority w:val="99"/>
    <w:rPr>
      <w:rFonts w:ascii="宋体" w:hAnsi="宋体" w:eastAsia="宋体" w:cs="宋体"/>
      <w:kern w:val="0"/>
      <w:sz w:val="22"/>
      <w:lang w:eastAsia="en-US"/>
    </w:rPr>
  </w:style>
  <w:style w:type="character" w:customStyle="1" w:styleId="55">
    <w:name w:val="正文文本 2 字符1"/>
    <w:link w:val="22"/>
    <w:uiPriority w:val="0"/>
    <w:rPr>
      <w:rFonts w:ascii="黑体" w:hAnsi="宋体" w:eastAsia="黑体" w:cs="Times New Roman"/>
      <w:b/>
      <w:bCs/>
      <w:sz w:val="44"/>
      <w:szCs w:val="24"/>
    </w:rPr>
  </w:style>
  <w:style w:type="character" w:customStyle="1" w:styleId="56">
    <w:name w:val="正文文本缩进 3 字符"/>
    <w:basedOn w:val="24"/>
    <w:semiHidden/>
    <w:uiPriority w:val="99"/>
    <w:rPr>
      <w:rFonts w:ascii="宋体" w:hAnsi="宋体" w:eastAsia="宋体" w:cs="宋体"/>
      <w:kern w:val="0"/>
      <w:sz w:val="16"/>
      <w:szCs w:val="16"/>
      <w:lang w:eastAsia="en-US"/>
    </w:rPr>
  </w:style>
  <w:style w:type="character" w:customStyle="1" w:styleId="57">
    <w:name w:val="正文文本缩进 3 字符1"/>
    <w:link w:val="21"/>
    <w:uiPriority w:val="0"/>
    <w:rPr>
      <w:rFonts w:ascii="仿宋_GB2312" w:hAnsi="Times New Roman" w:eastAsia="仿宋_GB2312" w:cs="Times New Roman"/>
      <w:color w:val="0000FF"/>
      <w:sz w:val="32"/>
      <w:szCs w:val="24"/>
    </w:rPr>
  </w:style>
  <w:style w:type="character" w:customStyle="1" w:styleId="58">
    <w:name w:val="页脚 Char"/>
    <w:uiPriority w:val="0"/>
    <w:rPr>
      <w:kern w:val="2"/>
      <w:sz w:val="18"/>
      <w:szCs w:val="18"/>
    </w:rPr>
  </w:style>
  <w:style w:type="character" w:customStyle="1" w:styleId="59">
    <w:name w:val="页眉 Char"/>
    <w:uiPriority w:val="99"/>
    <w:rPr>
      <w:kern w:val="2"/>
      <w:sz w:val="18"/>
      <w:szCs w:val="18"/>
    </w:rPr>
  </w:style>
  <w:style w:type="character" w:customStyle="1" w:styleId="60">
    <w:name w:val="批注框文本 Char"/>
    <w:uiPriority w:val="0"/>
    <w:rPr>
      <w:kern w:val="2"/>
      <w:sz w:val="18"/>
      <w:szCs w:val="18"/>
    </w:rPr>
  </w:style>
  <w:style w:type="character" w:customStyle="1" w:styleId="61">
    <w:name w:val="脚注文本 字符"/>
    <w:basedOn w:val="24"/>
    <w:semiHidden/>
    <w:uiPriority w:val="99"/>
    <w:rPr>
      <w:rFonts w:ascii="宋体" w:hAnsi="宋体" w:eastAsia="宋体" w:cs="宋体"/>
      <w:kern w:val="0"/>
      <w:sz w:val="18"/>
      <w:szCs w:val="18"/>
      <w:lang w:eastAsia="en-US"/>
    </w:rPr>
  </w:style>
  <w:style w:type="character" w:customStyle="1" w:styleId="62">
    <w:name w:val="脚注文本 字符1"/>
    <w:link w:val="20"/>
    <w:qFormat/>
    <w:uiPriority w:val="0"/>
    <w:rPr>
      <w:rFonts w:ascii="楷体_GB2312" w:hAnsi="华文楷体" w:eastAsia="楷体_GB2312" w:cs="Times New Roman"/>
      <w:bCs/>
      <w:szCs w:val="18"/>
    </w:rPr>
  </w:style>
  <w:style w:type="paragraph" w:customStyle="1" w:styleId="63">
    <w:name w:val="Char"/>
    <w:basedOn w:val="1"/>
    <w:uiPriority w:val="0"/>
    <w:pPr>
      <w:autoSpaceDE/>
      <w:autoSpaceDN/>
      <w:jc w:val="both"/>
    </w:pPr>
    <w:rPr>
      <w:rFonts w:ascii="Tahoma" w:hAnsi="Tahoma" w:cs="Times New Roman"/>
      <w:kern w:val="2"/>
      <w:sz w:val="24"/>
      <w:szCs w:val="20"/>
      <w:lang w:eastAsia="zh-CN"/>
    </w:rPr>
  </w:style>
  <w:style w:type="character" w:customStyle="1" w:styleId="64">
    <w:name w:val="批注文字 字符"/>
    <w:basedOn w:val="24"/>
    <w:semiHidden/>
    <w:uiPriority w:val="99"/>
    <w:rPr>
      <w:rFonts w:ascii="宋体" w:hAnsi="宋体" w:eastAsia="宋体" w:cs="宋体"/>
      <w:kern w:val="0"/>
      <w:sz w:val="22"/>
      <w:lang w:eastAsia="en-US"/>
    </w:rPr>
  </w:style>
  <w:style w:type="character" w:customStyle="1" w:styleId="65">
    <w:name w:val="批注文字 字符1"/>
    <w:link w:val="10"/>
    <w:uiPriority w:val="0"/>
    <w:rPr>
      <w:rFonts w:ascii="Times New Roman" w:hAnsi="Times New Roman" w:eastAsia="宋体" w:cs="Times New Roman"/>
      <w:szCs w:val="24"/>
    </w:rPr>
  </w:style>
  <w:style w:type="character" w:customStyle="1" w:styleId="66">
    <w:name w:val="批注主题 字符"/>
    <w:basedOn w:val="64"/>
    <w:semiHidden/>
    <w:uiPriority w:val="99"/>
    <w:rPr>
      <w:rFonts w:ascii="宋体" w:hAnsi="宋体" w:eastAsia="宋体" w:cs="宋体"/>
      <w:b/>
      <w:bCs/>
      <w:kern w:val="0"/>
      <w:sz w:val="22"/>
      <w:lang w:eastAsia="en-US"/>
    </w:rPr>
  </w:style>
  <w:style w:type="character" w:customStyle="1" w:styleId="67">
    <w:name w:val="批注主题 字符1"/>
    <w:link w:val="9"/>
    <w:uiPriority w:val="0"/>
    <w:rPr>
      <w:rFonts w:ascii="Times New Roman" w:hAnsi="Times New Roman" w:eastAsia="宋体" w:cs="Times New Roman"/>
      <w:b/>
      <w:bCs/>
      <w:szCs w:val="24"/>
    </w:rPr>
  </w:style>
  <w:style w:type="character" w:customStyle="1" w:styleId="68">
    <w:name w:val="纯文本 Char"/>
    <w:uiPriority w:val="0"/>
    <w:rPr>
      <w:rFonts w:ascii="宋体" w:hAnsi="Courier New"/>
      <w:kern w:val="2"/>
      <w:sz w:val="21"/>
    </w:rPr>
  </w:style>
  <w:style w:type="character" w:customStyle="1" w:styleId="69">
    <w:name w:val="日期 Char"/>
    <w:uiPriority w:val="0"/>
    <w:rPr>
      <w:kern w:val="2"/>
      <w:sz w:val="21"/>
      <w:szCs w:val="24"/>
    </w:rPr>
  </w:style>
  <w:style w:type="character" w:customStyle="1" w:styleId="70">
    <w:name w:val="标题 字符"/>
    <w:basedOn w:val="24"/>
    <w:uiPriority w:val="10"/>
    <w:rPr>
      <w:rFonts w:asciiTheme="majorHAnsi" w:hAnsiTheme="majorHAnsi" w:eastAsiaTheme="majorEastAsia" w:cstheme="majorBidi"/>
      <w:b/>
      <w:bCs/>
      <w:kern w:val="0"/>
      <w:sz w:val="32"/>
      <w:szCs w:val="32"/>
      <w:lang w:eastAsia="en-US"/>
    </w:rPr>
  </w:style>
  <w:style w:type="character" w:customStyle="1" w:styleId="71">
    <w:name w:val="标题 字符1"/>
    <w:link w:val="23"/>
    <w:uiPriority w:val="0"/>
    <w:rPr>
      <w:rFonts w:ascii="Cambria" w:hAnsi="Cambria" w:eastAsia="宋体" w:cs="Times New Roman"/>
      <w:b/>
      <w:bCs/>
      <w:sz w:val="32"/>
      <w:szCs w:val="32"/>
    </w:rPr>
  </w:style>
  <w:style w:type="paragraph" w:styleId="72">
    <w:name w:val="List Paragraph"/>
    <w:basedOn w:val="1"/>
    <w:qFormat/>
    <w:uiPriority w:val="34"/>
    <w:pPr>
      <w:autoSpaceDE/>
      <w:autoSpaceDN/>
      <w:spacing w:afterLines="50"/>
      <w:ind w:firstLine="420" w:firstLineChars="200"/>
      <w:jc w:val="both"/>
    </w:pPr>
    <w:rPr>
      <w:rFonts w:ascii="Calibri" w:hAnsi="Calibri" w:cs="Times New Roman"/>
      <w:kern w:val="2"/>
      <w:sz w:val="21"/>
      <w:lang w:eastAsia="zh-CN"/>
    </w:rPr>
  </w:style>
  <w:style w:type="paragraph" w:customStyle="1" w:styleId="73">
    <w:name w:val="_Style 71"/>
    <w:uiPriority w:val="0"/>
    <w:pPr>
      <w:widowControl w:val="0"/>
      <w:autoSpaceDE w:val="0"/>
      <w:autoSpaceDN w:val="0"/>
    </w:pPr>
    <w:rPr>
      <w:rFonts w:ascii="宋体" w:hAnsi="宋体" w:eastAsia="宋体" w:cs="宋体"/>
      <w:kern w:val="0"/>
      <w:sz w:val="22"/>
      <w:szCs w:val="22"/>
      <w:lang w:val="en-US" w:eastAsia="en-US" w:bidi="ar-SA"/>
    </w:rPr>
  </w:style>
  <w:style w:type="paragraph" w:customStyle="1" w:styleId="74">
    <w:name w:val="Char Char Char Char Char Char Char"/>
    <w:basedOn w:val="1"/>
    <w:uiPriority w:val="0"/>
    <w:pPr>
      <w:tabs>
        <w:tab w:val="left" w:pos="425"/>
      </w:tabs>
      <w:autoSpaceDE/>
      <w:autoSpaceDN/>
      <w:ind w:left="425" w:hanging="425"/>
      <w:jc w:val="both"/>
    </w:pPr>
    <w:rPr>
      <w:rFonts w:cs="Times New Roman"/>
      <w:color w:val="000000"/>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19C12-EA0A-4ACC-8581-29162A1B680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1650</Words>
  <Characters>9409</Characters>
  <Lines>78</Lines>
  <Paragraphs>22</Paragraphs>
  <TotalTime>895</TotalTime>
  <ScaleCrop>false</ScaleCrop>
  <LinksUpToDate>false</LinksUpToDate>
  <CharactersWithSpaces>11037</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2018-08-08T09:00:00Z</dcterms:created>
  <dc:creator>LENOVO</dc:creator>
  <cp:lastModifiedBy>bwm33</cp:lastModifiedBy>
  <dcterms:modified xsi:type="dcterms:W3CDTF">2018-11-20T05:18:27Z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